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rPr>
      </w:pPr>
      <w:r>
        <w:rPr>
          <w:rFonts w:ascii="Times New Roman" w:hAnsi="Times New Roman" w:cs="Times New Roman"/>
          <w:b/>
        </w:rPr>
        <w:t>PENGARUH KEPATUHAN PASIEN RAWAT JALAN HIPERTENSI PESERTA ASURANSI PT. ASKES TERHADAP PEMBIAYAANNYA, TESIS, FAKULTAS FARMASI, UNIVERSITAS SETIA BUDI.</w:t>
      </w: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rPr>
      </w:pPr>
      <w:r>
        <w:rPr>
          <w:rFonts w:ascii="Times New Roman" w:hAnsi="Times New Roman" w:cs="Times New Roman"/>
          <w:b/>
        </w:rPr>
        <w:t>HADIJA MARASABESSY,</w:t>
      </w:r>
      <w:r>
        <w:rPr>
          <w:rFonts w:ascii="Times New Roman" w:hAnsi="Times New Roman" w:cs="Times New Roman"/>
          <w:b/>
          <w:vertAlign w:val="superscript"/>
        </w:rPr>
        <w:t>1</w:t>
      </w:r>
      <w:r>
        <w:rPr>
          <w:rFonts w:ascii="Times New Roman" w:hAnsi="Times New Roman" w:cs="Times New Roman"/>
          <w:b/>
        </w:rPr>
        <w:t xml:space="preserve"> , </w:t>
      </w:r>
      <w:r>
        <w:rPr>
          <w:rFonts w:ascii="Times New Roman" w:hAnsi="Times New Roman" w:cs="Times New Roman"/>
          <w:b/>
          <w:vertAlign w:val="superscript"/>
        </w:rPr>
        <w:t xml:space="preserve">2 </w:t>
      </w:r>
      <w:r>
        <w:rPr>
          <w:rFonts w:ascii="Times New Roman" w:hAnsi="Times New Roman" w:cs="Times New Roman"/>
          <w:b/>
        </w:rPr>
        <w:t>ACHMAD FUDHOLI,</w:t>
      </w:r>
      <w:r>
        <w:rPr>
          <w:rFonts w:ascii="Times New Roman" w:hAnsi="Times New Roman" w:cs="Times New Roman"/>
          <w:b/>
          <w:vertAlign w:val="superscript"/>
        </w:rPr>
        <w:t>2</w:t>
      </w:r>
      <w:r>
        <w:rPr>
          <w:rFonts w:ascii="Times New Roman" w:hAnsi="Times New Roman" w:cs="Times New Roman"/>
          <w:b/>
        </w:rPr>
        <w:t xml:space="preserve">TRI MURTI ANDAYANI </w:t>
      </w:r>
    </w:p>
    <w:p>
      <w:pPr>
        <w:spacing w:after="0" w:line="240" w:lineRule="auto"/>
        <w:jc w:val="center"/>
        <w:rPr>
          <w:rFonts w:ascii="Times New Roman" w:hAnsi="Times New Roman" w:cs="Times New Roman"/>
        </w:rPr>
      </w:pPr>
      <w:r>
        <w:rPr>
          <w:rFonts w:ascii="Times New Roman" w:hAnsi="Times New Roman" w:cs="Times New Roman"/>
          <w:b/>
          <w:vertAlign w:val="superscript"/>
        </w:rPr>
        <w:t xml:space="preserve">1 </w:t>
      </w:r>
      <w:r>
        <w:rPr>
          <w:rFonts w:ascii="Times New Roman" w:hAnsi="Times New Roman" w:cs="Times New Roman"/>
        </w:rPr>
        <w:t>Program Pascasarjana, Fakultas Farmasi, Universitas Setia Budi</w:t>
      </w:r>
    </w:p>
    <w:p>
      <w:pPr>
        <w:spacing w:line="240" w:lineRule="auto"/>
        <w:jc w:val="center"/>
        <w:rPr>
          <w:rFonts w:ascii="Times New Roman" w:hAnsi="Times New Roman" w:cs="Times New Roman"/>
          <w:b/>
          <w:lang/>
        </w:rPr>
      </w:pPr>
      <w:r>
        <w:rPr>
          <w:rFonts w:ascii="Times New Roman" w:hAnsi="Times New Roman" w:cs="Times New Roman"/>
          <w:b/>
          <w:vertAlign w:val="superscript"/>
        </w:rPr>
        <w:t xml:space="preserve">2 </w:t>
      </w:r>
      <w:r>
        <w:rPr>
          <w:rFonts w:ascii="Times New Roman" w:hAnsi="Times New Roman" w:cs="Times New Roman"/>
        </w:rPr>
        <w:t>Program Pascasarjana, Fakultas Farmasi, Universitas gadja</w:t>
      </w:r>
      <w:r>
        <w:rPr>
          <w:rFonts w:ascii="Times New Roman" w:hAnsi="Times New Roman" w:cs="Times New Roman"/>
          <w:lang/>
        </w:rPr>
        <w:t>h mada</w:t>
      </w:r>
    </w:p>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b/>
        </w:rPr>
      </w:pPr>
      <w:r>
        <w:rPr>
          <w:rFonts w:ascii="Times New Roman" w:hAnsi="Times New Roman" w:cs="Times New Roman"/>
          <w:b/>
        </w:rPr>
        <w:t>INTISARI</w:t>
      </w:r>
    </w:p>
    <w:p>
      <w:pPr>
        <w:pBdr>
          <w:bottom w:val="single" w:color="auto" w:sz="4" w:space="1"/>
        </w:pBdr>
        <w:spacing w:after="0" w:line="240" w:lineRule="auto"/>
        <w:ind w:firstLine="720"/>
        <w:jc w:val="both"/>
        <w:rPr>
          <w:rFonts w:ascii="Times New Roman" w:hAnsi="Times New Roman" w:cs="Times New Roman"/>
        </w:rPr>
      </w:pPr>
      <w:r>
        <w:rPr>
          <w:rFonts w:ascii="Times New Roman" w:hAnsi="Times New Roman" w:cs="Times New Roman"/>
        </w:rPr>
        <w:t>Pengobatan hipertensi adalah pengobatan jangka panjang yang mengharuskan pasien hipertensi menjalani pengobatan yang terus menerus. Keberhasilan terapi pasien bergantung pada kepatuhan pasien terhadap terapi hipertensi. Ketidakpatuhan pasien dalam menjalani pengobatan dapat berdampak pada mahalnya biaya pengobatan. Penelitian ini bertujuan untuk mengetahui gambaran pengobatan antihipertensi, gambaran kepatuhan pasien hipertensi, rata-rata biaya pengobatan, dan hubungan antara kepatuhan, karakteristik dan biaya.</w:t>
      </w:r>
    </w:p>
    <w:p>
      <w:pPr>
        <w:pBdr>
          <w:bottom w:val="single" w:color="auto" w:sz="4" w:space="1"/>
        </w:pBdr>
        <w:spacing w:after="0" w:line="240" w:lineRule="auto"/>
        <w:ind w:firstLine="720"/>
        <w:jc w:val="both"/>
        <w:rPr>
          <w:rFonts w:ascii="Times New Roman" w:hAnsi="Times New Roman" w:cs="Times New Roman"/>
        </w:rPr>
      </w:pPr>
      <w:r>
        <w:rPr>
          <w:rFonts w:ascii="Times New Roman" w:hAnsi="Times New Roman" w:cs="Times New Roman"/>
        </w:rPr>
        <w:t xml:space="preserve"> Penelitian ini menggunakan rancangan penelitian </w:t>
      </w:r>
      <w:r>
        <w:rPr>
          <w:rFonts w:ascii="Times New Roman" w:hAnsi="Times New Roman" w:cs="Times New Roman"/>
          <w:i/>
        </w:rPr>
        <w:t>cohort retrospektif</w:t>
      </w:r>
      <w:r>
        <w:rPr>
          <w:rFonts w:ascii="Times New Roman" w:hAnsi="Times New Roman" w:cs="Times New Roman"/>
        </w:rPr>
        <w:t xml:space="preserve"> bertujuan untuk mengetahui biaya pengobatan pasien rawat jalan hipertensi di RSUD karanganyar. Subjek penelitian adalah pasien hipertensi rawat jalan peserta Askes di RSUD Karanganyar tahun 2011-2013. Data dianalisis secara deskriptif meliputi karakteristik pasien, gambaran kepatuhan dan biaya rata-rata pengobatan. Uji Chi-square untuk mengetahui faktor-faktor yang berpengaruh terhadap kepatuhan dan uji korelasi untuk menganalisis hubungan antara karakteristik dan kepatuhan pasien dengan rata-rata. </w:t>
      </w:r>
    </w:p>
    <w:p>
      <w:pPr>
        <w:pBdr>
          <w:bottom w:val="single" w:color="auto" w:sz="4" w:space="1"/>
        </w:pBdr>
        <w:spacing w:line="240" w:lineRule="auto"/>
        <w:ind w:firstLine="720"/>
        <w:jc w:val="both"/>
        <w:rPr>
          <w:b/>
        </w:rPr>
      </w:pPr>
      <w:r>
        <w:rPr>
          <w:rFonts w:ascii="Times New Roman" w:hAnsi="Times New Roman" w:cs="Times New Roman"/>
        </w:rPr>
        <w:t>Hasil penelitian menunjukan bahwa pola pengobatan yang banyak di gunakan yaitu kombinasi antara captopril-HCT yaitu sebanyak 83 pasien (28,33%), Kepatuhan pasien rawat jalan peserta askes di RSUD Karanganyar diketahui lebih banyak pasien patuh sebanyak 164 pasien dan 129 pasien tidak patuh, Rata-rata biaya pengobatan per bulan pada pasien hipertensi rawat jalan peserta askes lebih besar  terdapat pada pasien tidak patuh yakni  Rp. 259,826 dibandingkan dengan pasien patuh Rp.256,696, Tidak terdapat hubungan yang signifikan antara karakteristik pasien, kepatuhan dengan rata-rata biaya per bulan yang diperlukan pasien</w:t>
      </w:r>
    </w:p>
    <w:p>
      <w:pPr>
        <w:spacing w:line="240" w:lineRule="auto"/>
        <w:rPr>
          <w:rFonts w:ascii="Times New Roman" w:hAnsi="Times New Roman" w:cs="Times New Roman"/>
        </w:rPr>
      </w:pPr>
      <w:r>
        <w:rPr>
          <w:rFonts w:ascii="Times New Roman" w:hAnsi="Times New Roman" w:cs="Times New Roman"/>
        </w:rPr>
        <w:t>Kata kunci : kepatuhan, hipertensi, pembiayaan, RSUD Karanganyar</w:t>
      </w: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bookmarkStart w:id="0" w:name="_GoBack"/>
      <w:bookmarkEnd w:id="0"/>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sectPr>
          <w:type w:val="continuous"/>
          <w:pgSz w:w="11906" w:h="16838"/>
          <w:pgMar w:top="1440" w:right="1274" w:bottom="1440" w:left="1276" w:header="708" w:footer="708" w:gutter="0"/>
          <w:cols w:space="425" w:num="1"/>
          <w:docGrid w:linePitch="360" w:charSpace="0"/>
        </w:sectPr>
      </w:pPr>
    </w:p>
    <w:p>
      <w:pPr>
        <w:spacing w:line="240" w:lineRule="auto"/>
        <w:rPr>
          <w:rFonts w:ascii="Times New Roman" w:hAnsi="Times New Roman" w:cs="Times New Roman"/>
        </w:rPr>
      </w:pPr>
    </w:p>
    <w:p>
      <w:pPr>
        <w:pStyle w:val="6"/>
        <w:numPr>
          <w:ilvl w:val="0"/>
          <w:numId w:val="1"/>
        </w:num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PENDAHULUAN</w:t>
      </w:r>
    </w:p>
    <w:p>
      <w:pPr>
        <w:spacing w:after="0" w:line="48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Hipertensi merupakan penyakit degeneratif, yaitu penyakit yang diakibatkan karena fungsi atau struktur dan jaringan atau organ tubuh yang secar progresif menurun dari waktu ke waktu karena usia atau pilihan gaya hidup. Penderita hipertensi di dunia sangat banyak. Sekitar 20% dari semua orang dewasa menderita tekanan darah tinggi dan angka ini terus meningkat. Sekitar 40% dari semua kematian di bawah usia 65 tahun adalah akibat tekanan darah tinggi (Junaidi, 2010).</w:t>
      </w:r>
    </w:p>
    <w:p>
      <w:pPr>
        <w:spacing w:after="0" w:line="48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Di Amerika menurut National Health and nutrition Examination survey (NHNES III); paling sedikit 30% pasien hipertensi tidak menyadari kondisi mereka dan hanya 31% pasien yang diobati mencapai target tekanan darah yang diinginkan di bawah 140/90 mmHg. Di Indonesia, dengan tingkat kesadaran akan kesehatan yang lebih rendah, jumlah pasien yang tidak menyadari bahwa dirinya menderita hipertensi dan yang tidak mematuhi minum obat kemungkinan lebih besar (Anonim, 2006).</w:t>
      </w:r>
    </w:p>
    <w:p>
      <w:pPr>
        <w:spacing w:after="0" w:line="48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Pasien hipertensi walaupun telah diberi terapi yang efektif dan tersedia masih kurang terpantau (Oeng </w:t>
      </w:r>
      <w:r>
        <w:rPr>
          <w:rFonts w:ascii="Times New Roman" w:hAnsi="Times New Roman" w:cs="Times New Roman"/>
          <w:i/>
          <w:sz w:val="24"/>
          <w:szCs w:val="24"/>
        </w:rPr>
        <w:t>et al.,</w:t>
      </w:r>
      <w:r>
        <w:rPr>
          <w:rFonts w:ascii="Times New Roman" w:hAnsi="Times New Roman" w:cs="Times New Roman"/>
          <w:sz w:val="24"/>
          <w:szCs w:val="24"/>
        </w:rPr>
        <w:t xml:space="preserve"> 2007) kepatuhan yang rendah pada penggunaan obat antihipertensi yang diresepkan menyebabkan kontrol tekanan darah yang tidak tercapai (Cobanian </w:t>
      </w:r>
      <w:r>
        <w:rPr>
          <w:rFonts w:ascii="Times New Roman" w:hAnsi="Times New Roman" w:cs="Times New Roman"/>
          <w:i/>
          <w:sz w:val="24"/>
          <w:szCs w:val="24"/>
        </w:rPr>
        <w:t>et al</w:t>
      </w:r>
      <w:r>
        <w:rPr>
          <w:rFonts w:ascii="Times New Roman" w:hAnsi="Times New Roman" w:cs="Times New Roman"/>
          <w:sz w:val="24"/>
          <w:szCs w:val="24"/>
        </w:rPr>
        <w:t xml:space="preserve">., 2003; Brunner </w:t>
      </w:r>
      <w:r>
        <w:rPr>
          <w:rFonts w:ascii="Times New Roman" w:hAnsi="Times New Roman" w:cs="Times New Roman"/>
          <w:i/>
          <w:sz w:val="24"/>
          <w:szCs w:val="24"/>
        </w:rPr>
        <w:t>et al</w:t>
      </w:r>
      <w:r>
        <w:rPr>
          <w:rFonts w:ascii="Times New Roman" w:hAnsi="Times New Roman" w:cs="Times New Roman"/>
          <w:sz w:val="24"/>
          <w:szCs w:val="24"/>
        </w:rPr>
        <w:t xml:space="preserve">., 2002) dengan karakteristik kepatuhan telah diteliti oleh </w:t>
      </w:r>
      <w:r>
        <w:rPr>
          <w:rFonts w:ascii="Times New Roman" w:hAnsi="Times New Roman" w:cs="Times New Roman"/>
          <w:i/>
          <w:sz w:val="24"/>
          <w:szCs w:val="24"/>
        </w:rPr>
        <w:t>National Council on patient Information an education as “ America’s other drug Problem</w:t>
      </w:r>
      <w:r>
        <w:rPr>
          <w:rFonts w:ascii="Times New Roman" w:hAnsi="Times New Roman" w:cs="Times New Roman"/>
          <w:sz w:val="24"/>
          <w:szCs w:val="24"/>
        </w:rPr>
        <w:t xml:space="preserve"> (Husaar.,DA, 1995). Biaya kesehatan resiko terjadinya penyakit Kardiovaskuler dan kejadian rawat inap tinggi karena kepatuhan penggunaan obat yang rendah (Sokol </w:t>
      </w:r>
      <w:r>
        <w:rPr>
          <w:rFonts w:ascii="Times New Roman" w:hAnsi="Times New Roman" w:cs="Times New Roman"/>
          <w:i/>
          <w:sz w:val="24"/>
          <w:szCs w:val="24"/>
        </w:rPr>
        <w:t>et al</w:t>
      </w:r>
      <w:r>
        <w:rPr>
          <w:rFonts w:ascii="Times New Roman" w:hAnsi="Times New Roman" w:cs="Times New Roman"/>
          <w:sz w:val="24"/>
          <w:szCs w:val="24"/>
        </w:rPr>
        <w:t xml:space="preserve">., 2005; Schiff </w:t>
      </w:r>
      <w:r>
        <w:rPr>
          <w:rFonts w:ascii="Times New Roman" w:hAnsi="Times New Roman" w:cs="Times New Roman"/>
          <w:i/>
          <w:sz w:val="24"/>
          <w:szCs w:val="24"/>
        </w:rPr>
        <w:t>et al</w:t>
      </w:r>
      <w:r>
        <w:rPr>
          <w:rFonts w:ascii="Times New Roman" w:hAnsi="Times New Roman" w:cs="Times New Roman"/>
          <w:sz w:val="24"/>
          <w:szCs w:val="24"/>
        </w:rPr>
        <w:t>., 2003)</w:t>
      </w:r>
    </w:p>
    <w:p>
      <w:pPr>
        <w:spacing w:after="0" w:line="48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RSUD Kabupaten Karanganyar sebagai Rumah sakit milik pemerintah merupakan pusat rujukan tertinggi di daerah Kabupaten Karanganyar. Pasien Askes merupakan jumlah populasi terbesar dari pasien yang dijamin oleh sistem penjamin kesehatan. Obat untuk pasien Askes yang berkunjung di poliklinik RSUD Kabupaten Karanganyar hanya bisa diperoleh dari pelayanan obat Askes rawat Jalan Instalasi Farmasi, berbeda dengan pasien umum yang bisa memperoleh obat dari tempat pelayanan obat yang lain atau apotek-apotek di luar RSUD Kabupaten Karanganyar.</w:t>
      </w:r>
    </w:p>
    <w:p>
      <w:pPr>
        <w:spacing w:after="0" w:line="48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Pada penelitian ini variabel yang digunakan berdasarkan karakter demografi pasien meliputi jenis kelamin, umur, komorbid, dan jumlah obat yang di berikan. Hasil penelitian retrospektif yang telah dilakukan pada pasien hipertensi RSUD Karanganyar 2011-2013 yang memenuhi kriteria inklusi sebanyak 293 pasien yang terdiagnosis hipertensi </w:t>
      </w:r>
      <w:r>
        <w:rPr>
          <w:rFonts w:ascii="Times New Roman" w:hAnsi="Times New Roman" w:cs="Times New Roman"/>
          <w:i/>
          <w:sz w:val="24"/>
          <w:szCs w:val="24"/>
        </w:rPr>
        <w:t>stage</w:t>
      </w:r>
      <w:r>
        <w:rPr>
          <w:rFonts w:ascii="Times New Roman" w:hAnsi="Times New Roman" w:cs="Times New Roman"/>
          <w:sz w:val="24"/>
          <w:szCs w:val="24"/>
        </w:rPr>
        <w:t xml:space="preserve"> II.</w:t>
      </w:r>
    </w:p>
    <w:p>
      <w:pPr>
        <w:pStyle w:val="6"/>
        <w:numPr>
          <w:ilvl w:val="0"/>
          <w:numId w:val="1"/>
        </w:numPr>
        <w:tabs>
          <w:tab w:val="left" w:pos="284"/>
        </w:tabs>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METODOLOGI PENELITIAN</w:t>
      </w:r>
    </w:p>
    <w:p>
      <w:pPr>
        <w:pStyle w:val="2"/>
        <w:spacing w:before="0" w:line="475" w:lineRule="auto"/>
        <w:rPr>
          <w:rFonts w:ascii="Times New Roman" w:hAnsi="Times New Roman" w:cs="Times New Roman"/>
          <w:color w:val="auto"/>
          <w:sz w:val="24"/>
          <w:szCs w:val="24"/>
        </w:rPr>
      </w:pPr>
      <w:r>
        <w:rPr>
          <w:rFonts w:ascii="Times New Roman" w:hAnsi="Times New Roman" w:cs="Times New Roman"/>
          <w:color w:val="auto"/>
          <w:sz w:val="24"/>
          <w:szCs w:val="24"/>
        </w:rPr>
        <w:t>Rancangan Penelitian</w:t>
      </w:r>
    </w:p>
    <w:p>
      <w:pPr>
        <w:spacing w:after="0" w:line="47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adalah penelitian observasional dengan menggunakan rancangan penelitian </w:t>
      </w:r>
      <w:r>
        <w:rPr>
          <w:rFonts w:ascii="Times New Roman" w:hAnsi="Times New Roman" w:cs="Times New Roman"/>
          <w:i/>
          <w:sz w:val="24"/>
          <w:szCs w:val="24"/>
        </w:rPr>
        <w:t>cohort retrospektif</w:t>
      </w:r>
      <w:r>
        <w:rPr>
          <w:rFonts w:ascii="Times New Roman" w:hAnsi="Times New Roman" w:cs="Times New Roman"/>
          <w:sz w:val="24"/>
          <w:szCs w:val="24"/>
        </w:rPr>
        <w:t xml:space="preserve"> bertujuan untuk mengetahui biaya pengobatan pasien rawat jalan hipertensi di RSUD Karanganyar. Metode pengambilan data dilakukan secara retrospektif dari catatan medik pasien hipertensi dan biaya pengobatan pasien. Data pasien adalah kualitatif dan kuantitatif.</w:t>
      </w:r>
    </w:p>
    <w:p>
      <w:pPr>
        <w:pStyle w:val="2"/>
        <w:spacing w:before="0" w:line="475" w:lineRule="auto"/>
        <w:rPr>
          <w:rFonts w:ascii="Times New Roman" w:hAnsi="Times New Roman" w:cs="Times New Roman"/>
          <w:color w:val="auto"/>
          <w:sz w:val="24"/>
          <w:szCs w:val="24"/>
        </w:rPr>
      </w:pPr>
      <w:r>
        <w:rPr>
          <w:rFonts w:ascii="Times New Roman" w:hAnsi="Times New Roman" w:cs="Times New Roman"/>
          <w:color w:val="auto"/>
          <w:sz w:val="24"/>
          <w:szCs w:val="24"/>
        </w:rPr>
        <w:t>Subjek dan Lokasi Penelitian</w:t>
      </w:r>
    </w:p>
    <w:p>
      <w:pPr>
        <w:spacing w:after="0" w:line="475" w:lineRule="auto"/>
        <w:ind w:firstLine="709"/>
        <w:jc w:val="both"/>
        <w:rPr>
          <w:rFonts w:ascii="Times New Roman" w:hAnsi="Times New Roman" w:cs="Times New Roman"/>
          <w:sz w:val="24"/>
          <w:szCs w:val="24"/>
        </w:rPr>
      </w:pPr>
      <w:r>
        <w:rPr>
          <w:rFonts w:ascii="Times New Roman" w:hAnsi="Times New Roman" w:cs="Times New Roman"/>
          <w:sz w:val="24"/>
          <w:szCs w:val="24"/>
        </w:rPr>
        <w:t>Populasi penelitian ini adalah seluruh pasien  rawat jalan penderita hipertensi pada tahun 2011-2013 di</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RSUD Karanganyar  yang memenuhi kriteria inklusi sebagai berikut :</w:t>
      </w:r>
    </w:p>
    <w:p>
      <w:pPr>
        <w:pStyle w:val="6"/>
        <w:numPr>
          <w:ilvl w:val="0"/>
          <w:numId w:val="2"/>
        </w:numPr>
        <w:spacing w:after="0" w:line="475"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Pasien dengan diagnosa utama hipertensi </w:t>
      </w:r>
      <w:r>
        <w:rPr>
          <w:rFonts w:ascii="Times New Roman" w:hAnsi="Times New Roman" w:cs="Times New Roman"/>
          <w:i/>
          <w:sz w:val="24"/>
          <w:szCs w:val="24"/>
        </w:rPr>
        <w:t>stage</w:t>
      </w:r>
      <w:r>
        <w:rPr>
          <w:rFonts w:ascii="Times New Roman" w:hAnsi="Times New Roman" w:cs="Times New Roman"/>
          <w:sz w:val="24"/>
          <w:szCs w:val="24"/>
        </w:rPr>
        <w:t xml:space="preserve"> II yang menjalani rawat jalan di RSUD Karanganyar  periode 2011-2013</w:t>
      </w:r>
    </w:p>
    <w:p>
      <w:pPr>
        <w:pStyle w:val="6"/>
        <w:numPr>
          <w:ilvl w:val="0"/>
          <w:numId w:val="2"/>
        </w:numPr>
        <w:spacing w:after="0" w:line="475" w:lineRule="auto"/>
        <w:ind w:left="357" w:hanging="357"/>
        <w:jc w:val="both"/>
        <w:rPr>
          <w:rFonts w:ascii="Times New Roman" w:hAnsi="Times New Roman" w:cs="Times New Roman"/>
          <w:sz w:val="24"/>
          <w:szCs w:val="24"/>
        </w:rPr>
      </w:pPr>
      <w:r>
        <w:rPr>
          <w:rFonts w:ascii="Times New Roman" w:hAnsi="Times New Roman" w:cs="Times New Roman"/>
          <w:sz w:val="24"/>
          <w:szCs w:val="24"/>
        </w:rPr>
        <w:t>Umur pasien mulai dari 18 tahun keatas</w:t>
      </w:r>
    </w:p>
    <w:p>
      <w:pPr>
        <w:pStyle w:val="6"/>
        <w:numPr>
          <w:ilvl w:val="0"/>
          <w:numId w:val="2"/>
        </w:numPr>
        <w:spacing w:after="0" w:line="475" w:lineRule="auto"/>
        <w:ind w:left="357" w:hanging="357"/>
        <w:jc w:val="both"/>
        <w:rPr>
          <w:rFonts w:ascii="Times New Roman" w:hAnsi="Times New Roman" w:cs="Times New Roman"/>
          <w:sz w:val="24"/>
          <w:szCs w:val="24"/>
        </w:rPr>
      </w:pPr>
      <w:r>
        <w:rPr>
          <w:rFonts w:ascii="Times New Roman" w:hAnsi="Times New Roman" w:cs="Times New Roman"/>
          <w:sz w:val="24"/>
          <w:szCs w:val="24"/>
        </w:rPr>
        <w:t>Pasien peserta Askes.</w:t>
      </w:r>
    </w:p>
    <w:p>
      <w:pPr>
        <w:pStyle w:val="6"/>
        <w:numPr>
          <w:ilvl w:val="0"/>
          <w:numId w:val="2"/>
        </w:numPr>
        <w:spacing w:after="0" w:line="475"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Pasien hipertensi </w:t>
      </w:r>
      <w:r>
        <w:rPr>
          <w:rFonts w:ascii="Times New Roman" w:hAnsi="Times New Roman" w:cs="Times New Roman"/>
          <w:i/>
          <w:sz w:val="24"/>
          <w:szCs w:val="24"/>
        </w:rPr>
        <w:t>stage</w:t>
      </w:r>
      <w:r>
        <w:rPr>
          <w:rFonts w:ascii="Times New Roman" w:hAnsi="Times New Roman" w:cs="Times New Roman"/>
          <w:sz w:val="24"/>
          <w:szCs w:val="24"/>
        </w:rPr>
        <w:t xml:space="preserve"> II</w:t>
      </w:r>
    </w:p>
    <w:p>
      <w:pPr>
        <w:spacing w:after="0" w:line="475" w:lineRule="auto"/>
        <w:ind w:firstLine="709"/>
        <w:jc w:val="both"/>
        <w:rPr>
          <w:rFonts w:ascii="Times New Roman" w:hAnsi="Times New Roman" w:cs="Times New Roman"/>
          <w:sz w:val="24"/>
          <w:szCs w:val="24"/>
        </w:rPr>
      </w:pPr>
      <w:r>
        <w:rPr>
          <w:rFonts w:ascii="Times New Roman" w:hAnsi="Times New Roman" w:cs="Times New Roman"/>
          <w:sz w:val="24"/>
          <w:szCs w:val="24"/>
        </w:rPr>
        <w:t>Sedangkan kriteria inklusi penelitian yaitu pasien dengan data yang tidak lengkap, hilang, dan tidak jelas terbaca. Catatan medik pasien merupakan sumber data dalam penelitian ini, sehingga catatan medik yang tidak lengkap akan menghambat pengumpulan data.</w:t>
      </w:r>
    </w:p>
    <w:p>
      <w:pPr>
        <w:pStyle w:val="2"/>
        <w:spacing w:before="0" w:line="475" w:lineRule="auto"/>
        <w:rPr>
          <w:rFonts w:ascii="Times New Roman" w:hAnsi="Times New Roman" w:cs="Times New Roman"/>
          <w:color w:val="auto"/>
          <w:sz w:val="24"/>
          <w:szCs w:val="24"/>
        </w:rPr>
      </w:pPr>
      <w:r>
        <w:rPr>
          <w:rFonts w:ascii="Times New Roman" w:hAnsi="Times New Roman" w:cs="Times New Roman"/>
          <w:color w:val="auto"/>
          <w:sz w:val="24"/>
          <w:szCs w:val="24"/>
        </w:rPr>
        <w:t>Analisis Data</w:t>
      </w:r>
    </w:p>
    <w:p>
      <w:pPr>
        <w:pStyle w:val="6"/>
        <w:numPr>
          <w:ilvl w:val="0"/>
          <w:numId w:val="3"/>
        </w:numPr>
        <w:spacing w:after="0" w:line="475" w:lineRule="auto"/>
        <w:ind w:left="363"/>
        <w:jc w:val="both"/>
        <w:rPr>
          <w:rFonts w:ascii="Times New Roman" w:hAnsi="Times New Roman" w:cs="Times New Roman"/>
          <w:sz w:val="24"/>
          <w:szCs w:val="24"/>
        </w:rPr>
      </w:pPr>
      <w:r>
        <w:rPr>
          <w:rFonts w:ascii="Times New Roman" w:hAnsi="Times New Roman" w:cs="Times New Roman"/>
          <w:sz w:val="24"/>
          <w:szCs w:val="24"/>
        </w:rPr>
        <w:t>Analisis deskriptif yaitu analisis yang digunakan untuk mengetahui deskripsi dari karakteristik pasien, umur, jenis kelamin, komorbid, dan jumlah obat.</w:t>
      </w:r>
    </w:p>
    <w:p>
      <w:pPr>
        <w:pStyle w:val="6"/>
        <w:numPr>
          <w:ilvl w:val="0"/>
          <w:numId w:val="3"/>
        </w:numPr>
        <w:spacing w:after="0" w:line="480" w:lineRule="auto"/>
        <w:ind w:left="363"/>
        <w:jc w:val="both"/>
        <w:rPr>
          <w:rFonts w:ascii="Times New Roman" w:hAnsi="Times New Roman" w:cs="Times New Roman"/>
          <w:sz w:val="24"/>
          <w:szCs w:val="24"/>
        </w:rPr>
      </w:pPr>
      <w:r>
        <w:rPr>
          <w:rFonts w:ascii="Times New Roman" w:hAnsi="Times New Roman" w:cs="Times New Roman"/>
          <w:sz w:val="24"/>
          <w:szCs w:val="24"/>
        </w:rPr>
        <w:t>Uji chi-square merupakan uji yang digunakan untuk mengetahui adanya perbedaan yang signifikan atau tidak pada faktor yang mempengaruhi kepatuhan pasien hipertensi rawat jalan peserta Askes.</w:t>
      </w:r>
    </w:p>
    <w:p>
      <w:pPr>
        <w:pStyle w:val="6"/>
        <w:numPr>
          <w:ilvl w:val="0"/>
          <w:numId w:val="3"/>
        </w:numPr>
        <w:spacing w:after="0" w:line="480" w:lineRule="auto"/>
        <w:ind w:left="363"/>
        <w:jc w:val="both"/>
        <w:rPr>
          <w:rFonts w:ascii="Times New Roman" w:hAnsi="Times New Roman" w:cs="Times New Roman"/>
          <w:sz w:val="24"/>
          <w:szCs w:val="24"/>
        </w:rPr>
      </w:pPr>
      <w:r>
        <w:rPr>
          <w:rFonts w:ascii="Times New Roman" w:hAnsi="Times New Roman" w:cs="Times New Roman"/>
          <w:sz w:val="24"/>
          <w:szCs w:val="24"/>
        </w:rPr>
        <w:t>Uji korelasi dilakukan untuk mengetahui hubungan antara umur, jenis kelamin, komorbid dan jumlah obat terhadap kepatuahn pasien serta biaya.</w:t>
      </w:r>
    </w:p>
    <w:p>
      <w:pPr>
        <w:pStyle w:val="6"/>
        <w:numPr>
          <w:ilvl w:val="0"/>
          <w:numId w:val="1"/>
        </w:numPr>
        <w:spacing w:after="0" w:line="468" w:lineRule="auto"/>
        <w:rPr>
          <w:rFonts w:ascii="Times New Roman" w:hAnsi="Times New Roman" w:cs="Times New Roman"/>
          <w:b/>
          <w:sz w:val="24"/>
          <w:szCs w:val="24"/>
        </w:rPr>
      </w:pPr>
      <w:r>
        <w:rPr>
          <w:rFonts w:ascii="Times New Roman" w:hAnsi="Times New Roman" w:cs="Times New Roman"/>
          <w:b/>
          <w:sz w:val="24"/>
          <w:szCs w:val="24"/>
        </w:rPr>
        <w:t>HASIL DAN PEMBAHASAN</w:t>
      </w:r>
    </w:p>
    <w:p>
      <w:pPr>
        <w:pStyle w:val="6"/>
        <w:numPr>
          <w:ilvl w:val="3"/>
          <w:numId w:val="1"/>
        </w:numPr>
        <w:spacing w:after="0" w:line="468" w:lineRule="auto"/>
        <w:ind w:left="426" w:firstLine="0"/>
        <w:jc w:val="both"/>
        <w:rPr>
          <w:rFonts w:ascii="Times New Roman" w:hAnsi="Times New Roman" w:cs="Times New Roman"/>
          <w:b/>
          <w:sz w:val="24"/>
          <w:szCs w:val="24"/>
        </w:rPr>
      </w:pPr>
      <w:r>
        <w:rPr>
          <w:rFonts w:ascii="Times New Roman" w:hAnsi="Times New Roman" w:cs="Times New Roman"/>
          <w:b/>
          <w:sz w:val="24"/>
          <w:szCs w:val="24"/>
        </w:rPr>
        <w:t>Demografi dan Karakteristik Pasien</w:t>
      </w:r>
    </w:p>
    <w:p>
      <w:pPr>
        <w:spacing w:after="0" w:line="240" w:lineRule="auto"/>
        <w:ind w:left="720" w:hanging="720"/>
        <w:jc w:val="both"/>
        <w:rPr>
          <w:rFonts w:ascii="Times New Roman" w:hAnsi="Times New Roman" w:cs="Times New Roman"/>
          <w:b/>
          <w:sz w:val="20"/>
          <w:szCs w:val="20"/>
        </w:rPr>
      </w:pPr>
      <w:r>
        <w:rPr>
          <w:rFonts w:ascii="Times New Roman" w:hAnsi="Times New Roman" w:cs="Times New Roman"/>
          <w:b/>
          <w:sz w:val="20"/>
          <w:szCs w:val="20"/>
        </w:rPr>
        <w:t>Tabel 1.</w:t>
      </w:r>
      <w:r>
        <w:rPr>
          <w:rFonts w:ascii="Times New Roman" w:hAnsi="Times New Roman" w:cs="Times New Roman"/>
          <w:b/>
          <w:sz w:val="20"/>
          <w:szCs w:val="20"/>
        </w:rPr>
        <w:tab/>
      </w:r>
      <w:r>
        <w:rPr>
          <w:rFonts w:ascii="Times New Roman" w:hAnsi="Times New Roman" w:cs="Times New Roman"/>
          <w:b/>
          <w:sz w:val="20"/>
          <w:szCs w:val="20"/>
        </w:rPr>
        <w:t>Distribusi demografi pasien hipertensi berdasarkan umur, jenis kelamin, komorbid, dan jumlah obat</w:t>
      </w:r>
    </w:p>
    <w:tbl>
      <w:tblPr>
        <w:tblStyle w:val="8"/>
        <w:tblW w:w="4928"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1436"/>
        <w:gridCol w:w="125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single" w:color="000000" w:themeColor="text1" w:sz="8" w:space="0"/>
              <w:left w:val="nil"/>
              <w:bottom w:val="single" w:color="000000" w:themeColor="text1" w:sz="8" w:space="0"/>
              <w:right w:val="nil"/>
              <w:insideH w:val="single" w:sz="8" w:space="0"/>
              <w:insideV w:val="nil"/>
            </w:tcBorders>
            <w:shd w:val="clear" w:color="auto" w:fill="auto"/>
          </w:tcPr>
          <w:p>
            <w:pPr>
              <w:pStyle w:val="6"/>
              <w:spacing w:before="0" w:after="0" w:line="235" w:lineRule="auto"/>
              <w:ind w:left="0"/>
              <w:jc w:val="center"/>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Karakteristik</w:t>
            </w:r>
          </w:p>
        </w:tc>
        <w:tc>
          <w:tcPr>
            <w:tcW w:w="1436" w:type="dxa"/>
            <w:tcBorders>
              <w:top w:val="single" w:color="000000" w:themeColor="text1" w:sz="8" w:space="0"/>
              <w:bottom w:val="single" w:color="000000" w:themeColor="text1" w:sz="8" w:space="0"/>
              <w:right w:val="nil"/>
              <w:insideH w:val="single" w:sz="8" w:space="0"/>
              <w:insideV w:val="nil"/>
            </w:tcBorders>
            <w:shd w:val="clear" w:color="auto" w:fill="auto"/>
          </w:tcPr>
          <w:p>
            <w:pPr>
              <w:pStyle w:val="6"/>
              <w:spacing w:before="0" w:after="0" w:line="235" w:lineRule="auto"/>
              <w:ind w:left="0" w:right="642"/>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Jumlah pasien</w:t>
            </w:r>
          </w:p>
        </w:tc>
        <w:tc>
          <w:tcPr>
            <w:tcW w:w="1257" w:type="dxa"/>
            <w:tcBorders>
              <w:top w:val="single" w:color="000000" w:themeColor="text1" w:sz="8" w:space="0"/>
              <w:bottom w:val="single" w:color="000000" w:themeColor="text1" w:sz="8" w:space="0"/>
              <w:right w:val="nil"/>
              <w:insideH w:val="single" w:sz="8" w:space="0"/>
              <w:insideV w:val="nil"/>
            </w:tcBorders>
            <w:shd w:val="clear" w:color="auto" w:fill="auto"/>
          </w:tcPr>
          <w:p>
            <w:pPr>
              <w:pStyle w:val="6"/>
              <w:spacing w:before="0" w:after="0" w:line="235" w:lineRule="auto"/>
              <w:ind w:left="0" w:hanging="433"/>
              <w:jc w:val="center"/>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single" w:color="000000" w:themeColor="text1" w:sz="8" w:space="0"/>
              <w:left w:val="nil"/>
              <w:bottom w:val="nil"/>
              <w:right w:val="nil"/>
              <w:insideV w:val="nil"/>
            </w:tcBorders>
            <w:shd w:val="clear" w:color="auto" w:fill="auto"/>
          </w:tcPr>
          <w:p>
            <w:pPr>
              <w:pStyle w:val="6"/>
              <w:spacing w:after="0" w:line="235" w:lineRule="auto"/>
              <w:ind w:left="0"/>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Umur</w:t>
            </w:r>
          </w:p>
        </w:tc>
        <w:tc>
          <w:tcPr>
            <w:tcW w:w="1436" w:type="dxa"/>
            <w:tcBorders>
              <w:top w:val="single" w:color="000000" w:themeColor="text1" w:sz="8" w:space="0"/>
              <w:bottom w:val="nil"/>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p>
        </w:tc>
        <w:tc>
          <w:tcPr>
            <w:tcW w:w="1257" w:type="dxa"/>
            <w:tcBorders>
              <w:top w:val="single" w:color="000000" w:themeColor="text1" w:sz="8" w:space="0"/>
              <w:bottom w:val="nil"/>
              <w:right w:val="nil"/>
              <w:insideV w:val="nil"/>
            </w:tcBorders>
            <w:shd w:val="clear" w:color="auto" w:fill="auto"/>
          </w:tcPr>
          <w:p>
            <w:pPr>
              <w:pStyle w:val="6"/>
              <w:spacing w:after="0" w:line="235" w:lineRule="auto"/>
              <w:ind w:left="0" w:hanging="433"/>
              <w:rPr>
                <w:rFonts w:ascii="Times New Roman" w:hAnsi="Times New Roman" w:cs="Times New Roman"/>
                <w:color w:val="000000" w:themeColor="text1" w:themeShade="BF"/>
                <w:sz w:val="20"/>
                <w:szCs w:val="20"/>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bottom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18-30</w:t>
            </w:r>
          </w:p>
        </w:tc>
        <w:tc>
          <w:tcPr>
            <w:tcW w:w="1436" w:type="dxa"/>
            <w:tcBorders>
              <w:top w:val="nil"/>
              <w:bottom w:val="nil"/>
            </w:tcBorders>
            <w:shd w:val="clear" w:color="auto" w:fill="auto"/>
          </w:tcPr>
          <w:p>
            <w:pPr>
              <w:pStyle w:val="6"/>
              <w:spacing w:after="0" w:line="235" w:lineRule="auto"/>
              <w:ind w:left="0" w:right="642"/>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12</w:t>
            </w:r>
          </w:p>
        </w:tc>
        <w:tc>
          <w:tcPr>
            <w:tcW w:w="1257" w:type="dxa"/>
            <w:tcBorders>
              <w:top w:val="nil"/>
              <w:bottom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4,10%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left w:val="nil"/>
              <w:bottom w:val="nil"/>
              <w:right w:val="nil"/>
              <w:insideV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31-40</w:t>
            </w:r>
          </w:p>
        </w:tc>
        <w:tc>
          <w:tcPr>
            <w:tcW w:w="1436" w:type="dxa"/>
            <w:tcBorders>
              <w:top w:val="nil"/>
              <w:bottom w:val="nil"/>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36</w:t>
            </w:r>
          </w:p>
        </w:tc>
        <w:tc>
          <w:tcPr>
            <w:tcW w:w="1257" w:type="dxa"/>
            <w:tcBorders>
              <w:top w:val="nil"/>
              <w:bottom w:val="nil"/>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12,29%</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bottom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41-50</w:t>
            </w:r>
          </w:p>
        </w:tc>
        <w:tc>
          <w:tcPr>
            <w:tcW w:w="1436" w:type="dxa"/>
            <w:tcBorders>
              <w:top w:val="nil"/>
              <w:bottom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96</w:t>
            </w:r>
          </w:p>
        </w:tc>
        <w:tc>
          <w:tcPr>
            <w:tcW w:w="1257" w:type="dxa"/>
            <w:tcBorders>
              <w:top w:val="nil"/>
              <w:bottom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32,76%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left w:val="nil"/>
              <w:bottom w:val="single" w:color="auto" w:sz="4" w:space="0"/>
              <w:right w:val="nil"/>
              <w:insideV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&gt;50</w:t>
            </w:r>
          </w:p>
        </w:tc>
        <w:tc>
          <w:tcPr>
            <w:tcW w:w="1436" w:type="dxa"/>
            <w:tcBorders>
              <w:top w:val="nil"/>
              <w:bottom w:val="single" w:color="auto" w:sz="4" w:space="0"/>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149</w:t>
            </w:r>
          </w:p>
        </w:tc>
        <w:tc>
          <w:tcPr>
            <w:tcW w:w="1257" w:type="dxa"/>
            <w:tcBorders>
              <w:top w:val="nil"/>
              <w:bottom w:val="single" w:color="auto" w:sz="4" w:space="0"/>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50,85%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single" w:color="auto" w:sz="4" w:space="0"/>
              <w:bottom w:val="nil"/>
            </w:tcBorders>
            <w:shd w:val="clear" w:color="auto" w:fill="auto"/>
          </w:tcPr>
          <w:p>
            <w:pPr>
              <w:pStyle w:val="6"/>
              <w:spacing w:after="0" w:line="235" w:lineRule="auto"/>
              <w:ind w:left="0"/>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Jenis kelamin</w:t>
            </w:r>
          </w:p>
        </w:tc>
        <w:tc>
          <w:tcPr>
            <w:tcW w:w="1436" w:type="dxa"/>
            <w:tcBorders>
              <w:top w:val="single" w:color="auto" w:sz="4" w:space="0"/>
              <w:bottom w:val="nil"/>
            </w:tcBorders>
            <w:shd w:val="clear" w:color="auto" w:fill="auto"/>
          </w:tcPr>
          <w:p>
            <w:pPr>
              <w:pStyle w:val="6"/>
              <w:spacing w:after="0" w:line="235" w:lineRule="auto"/>
              <w:ind w:left="0"/>
              <w:jc w:val="center"/>
              <w:rPr>
                <w:rFonts w:ascii="Times New Roman" w:hAnsi="Times New Roman" w:cs="Times New Roman"/>
                <w:color w:val="000000" w:themeColor="text1" w:themeShade="BF"/>
                <w:sz w:val="20"/>
                <w:szCs w:val="20"/>
              </w:rPr>
            </w:pPr>
          </w:p>
        </w:tc>
        <w:tc>
          <w:tcPr>
            <w:tcW w:w="1257" w:type="dxa"/>
            <w:tcBorders>
              <w:top w:val="single" w:color="auto" w:sz="4" w:space="0"/>
              <w:bottom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left w:val="nil"/>
              <w:bottom w:val="nil"/>
              <w:right w:val="nil"/>
              <w:insideV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Laki-laki</w:t>
            </w:r>
          </w:p>
        </w:tc>
        <w:tc>
          <w:tcPr>
            <w:tcW w:w="1436" w:type="dxa"/>
            <w:tcBorders>
              <w:top w:val="nil"/>
              <w:bottom w:val="nil"/>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139</w:t>
            </w:r>
          </w:p>
        </w:tc>
        <w:tc>
          <w:tcPr>
            <w:tcW w:w="1257" w:type="dxa"/>
            <w:tcBorders>
              <w:top w:val="nil"/>
              <w:bottom w:val="nil"/>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47,44%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bottom w:val="single" w:color="auto" w:sz="4" w:space="0"/>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Perempuan</w:t>
            </w:r>
          </w:p>
        </w:tc>
        <w:tc>
          <w:tcPr>
            <w:tcW w:w="1436" w:type="dxa"/>
            <w:tcBorders>
              <w:top w:val="nil"/>
              <w:bottom w:val="single" w:color="auto" w:sz="4" w:space="0"/>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154</w:t>
            </w:r>
          </w:p>
        </w:tc>
        <w:tc>
          <w:tcPr>
            <w:tcW w:w="1257" w:type="dxa"/>
            <w:tcBorders>
              <w:top w:val="nil"/>
              <w:bottom w:val="single" w:color="auto" w:sz="4" w:space="0"/>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52,56%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single" w:color="auto" w:sz="4" w:space="0"/>
              <w:left w:val="nil"/>
              <w:bottom w:val="nil"/>
              <w:right w:val="nil"/>
              <w:insideV w:val="nil"/>
            </w:tcBorders>
            <w:shd w:val="clear" w:color="auto" w:fill="auto"/>
          </w:tcPr>
          <w:p>
            <w:pPr>
              <w:pStyle w:val="6"/>
              <w:spacing w:after="0" w:line="235" w:lineRule="auto"/>
              <w:ind w:left="0"/>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Komorbid</w:t>
            </w:r>
          </w:p>
        </w:tc>
        <w:tc>
          <w:tcPr>
            <w:tcW w:w="1436" w:type="dxa"/>
            <w:tcBorders>
              <w:top w:val="single" w:color="auto" w:sz="4" w:space="0"/>
              <w:bottom w:val="nil"/>
              <w:right w:val="nil"/>
              <w:insideV w:val="nil"/>
            </w:tcBorders>
            <w:shd w:val="clear" w:color="auto" w:fill="auto"/>
          </w:tcPr>
          <w:p>
            <w:pPr>
              <w:pStyle w:val="6"/>
              <w:spacing w:after="0" w:line="235" w:lineRule="auto"/>
              <w:ind w:left="0"/>
              <w:jc w:val="center"/>
              <w:rPr>
                <w:rFonts w:ascii="Times New Roman" w:hAnsi="Times New Roman" w:cs="Times New Roman"/>
                <w:color w:val="000000" w:themeColor="text1" w:themeShade="BF"/>
                <w:sz w:val="20"/>
                <w:szCs w:val="20"/>
              </w:rPr>
            </w:pPr>
          </w:p>
        </w:tc>
        <w:tc>
          <w:tcPr>
            <w:tcW w:w="1257" w:type="dxa"/>
            <w:tcBorders>
              <w:top w:val="single" w:color="auto" w:sz="4" w:space="0"/>
              <w:bottom w:val="nil"/>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bottom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Tanpa komorbid</w:t>
            </w:r>
          </w:p>
        </w:tc>
        <w:tc>
          <w:tcPr>
            <w:tcW w:w="1436" w:type="dxa"/>
            <w:tcBorders>
              <w:top w:val="nil"/>
              <w:bottom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122</w:t>
            </w:r>
          </w:p>
        </w:tc>
        <w:tc>
          <w:tcPr>
            <w:tcW w:w="1257" w:type="dxa"/>
            <w:tcBorders>
              <w:top w:val="nil"/>
              <w:bottom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41,64%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left w:val="nil"/>
              <w:bottom w:val="nil"/>
              <w:right w:val="nil"/>
              <w:insideV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Hipertensi +DM</w:t>
            </w:r>
          </w:p>
        </w:tc>
        <w:tc>
          <w:tcPr>
            <w:tcW w:w="1436" w:type="dxa"/>
            <w:tcBorders>
              <w:top w:val="nil"/>
              <w:bottom w:val="nil"/>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81</w:t>
            </w:r>
          </w:p>
        </w:tc>
        <w:tc>
          <w:tcPr>
            <w:tcW w:w="1257" w:type="dxa"/>
            <w:tcBorders>
              <w:top w:val="nil"/>
              <w:bottom w:val="nil"/>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27,65%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bottom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Hipertensi + Kolesterol</w:t>
            </w:r>
          </w:p>
        </w:tc>
        <w:tc>
          <w:tcPr>
            <w:tcW w:w="1436" w:type="dxa"/>
            <w:tcBorders>
              <w:top w:val="nil"/>
              <w:bottom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57</w:t>
            </w:r>
          </w:p>
        </w:tc>
        <w:tc>
          <w:tcPr>
            <w:tcW w:w="1257" w:type="dxa"/>
            <w:tcBorders>
              <w:top w:val="nil"/>
              <w:bottom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19,45%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left w:val="nil"/>
              <w:bottom w:val="nil"/>
              <w:right w:val="nil"/>
              <w:insideV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Hipertensi + DM + jantung</w:t>
            </w:r>
          </w:p>
        </w:tc>
        <w:tc>
          <w:tcPr>
            <w:tcW w:w="1436" w:type="dxa"/>
            <w:tcBorders>
              <w:top w:val="nil"/>
              <w:bottom w:val="nil"/>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22</w:t>
            </w:r>
          </w:p>
        </w:tc>
        <w:tc>
          <w:tcPr>
            <w:tcW w:w="1257" w:type="dxa"/>
            <w:tcBorders>
              <w:top w:val="nil"/>
              <w:bottom w:val="nil"/>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7,51%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bottom w:val="single" w:color="auto" w:sz="4" w:space="0"/>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Hipertensi + asam urat +kolesterol</w:t>
            </w:r>
          </w:p>
        </w:tc>
        <w:tc>
          <w:tcPr>
            <w:tcW w:w="1436" w:type="dxa"/>
            <w:tcBorders>
              <w:top w:val="nil"/>
              <w:bottom w:val="single" w:color="auto" w:sz="4" w:space="0"/>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11</w:t>
            </w:r>
          </w:p>
        </w:tc>
        <w:tc>
          <w:tcPr>
            <w:tcW w:w="1257" w:type="dxa"/>
            <w:tcBorders>
              <w:top w:val="nil"/>
              <w:bottom w:val="single" w:color="auto" w:sz="4" w:space="0"/>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3,75%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single" w:color="auto" w:sz="4" w:space="0"/>
              <w:left w:val="nil"/>
              <w:bottom w:val="nil"/>
              <w:right w:val="nil"/>
              <w:insideV w:val="nil"/>
            </w:tcBorders>
            <w:shd w:val="clear" w:color="auto" w:fill="auto"/>
          </w:tcPr>
          <w:p>
            <w:pPr>
              <w:pStyle w:val="6"/>
              <w:spacing w:after="0" w:line="235" w:lineRule="auto"/>
              <w:ind w:left="0"/>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Jumlah obat</w:t>
            </w:r>
          </w:p>
        </w:tc>
        <w:tc>
          <w:tcPr>
            <w:tcW w:w="1436" w:type="dxa"/>
            <w:tcBorders>
              <w:top w:val="single" w:color="auto" w:sz="4" w:space="0"/>
              <w:bottom w:val="nil"/>
              <w:right w:val="nil"/>
              <w:insideV w:val="nil"/>
            </w:tcBorders>
            <w:shd w:val="clear" w:color="auto" w:fill="auto"/>
          </w:tcPr>
          <w:p>
            <w:pPr>
              <w:pStyle w:val="6"/>
              <w:spacing w:after="0" w:line="235" w:lineRule="auto"/>
              <w:ind w:left="0"/>
              <w:jc w:val="center"/>
              <w:rPr>
                <w:rFonts w:ascii="Times New Roman" w:hAnsi="Times New Roman" w:cs="Times New Roman"/>
                <w:color w:val="000000" w:themeColor="text1" w:themeShade="BF"/>
                <w:sz w:val="20"/>
                <w:szCs w:val="20"/>
              </w:rPr>
            </w:pPr>
          </w:p>
        </w:tc>
        <w:tc>
          <w:tcPr>
            <w:tcW w:w="1257" w:type="dxa"/>
            <w:tcBorders>
              <w:top w:val="single" w:color="auto" w:sz="4" w:space="0"/>
              <w:bottom w:val="nil"/>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 w:hRule="atLeast"/>
        </w:trPr>
        <w:tc>
          <w:tcPr>
            <w:tcW w:w="2235" w:type="dxa"/>
            <w:tcBorders>
              <w:top w:val="nil"/>
              <w:bottom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1 jenis</w:t>
            </w:r>
          </w:p>
        </w:tc>
        <w:tc>
          <w:tcPr>
            <w:tcW w:w="1436" w:type="dxa"/>
            <w:tcBorders>
              <w:top w:val="nil"/>
              <w:bottom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107</w:t>
            </w:r>
          </w:p>
        </w:tc>
        <w:tc>
          <w:tcPr>
            <w:tcW w:w="1257" w:type="dxa"/>
            <w:tcBorders>
              <w:top w:val="nil"/>
              <w:bottom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36,52%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left w:val="nil"/>
              <w:bottom w:val="nil"/>
              <w:right w:val="nil"/>
              <w:insideV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2 jenis</w:t>
            </w:r>
          </w:p>
        </w:tc>
        <w:tc>
          <w:tcPr>
            <w:tcW w:w="1436" w:type="dxa"/>
            <w:tcBorders>
              <w:top w:val="nil"/>
              <w:bottom w:val="nil"/>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157</w:t>
            </w:r>
          </w:p>
        </w:tc>
        <w:tc>
          <w:tcPr>
            <w:tcW w:w="1257" w:type="dxa"/>
            <w:tcBorders>
              <w:top w:val="nil"/>
              <w:bottom w:val="nil"/>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53,58%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nil"/>
              <w:bottom w:val="single" w:color="auto" w:sz="4" w:space="0"/>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3 jenis</w:t>
            </w:r>
          </w:p>
        </w:tc>
        <w:tc>
          <w:tcPr>
            <w:tcW w:w="1436" w:type="dxa"/>
            <w:tcBorders>
              <w:top w:val="nil"/>
              <w:bottom w:val="single" w:color="auto" w:sz="4" w:space="0"/>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29</w:t>
            </w:r>
          </w:p>
        </w:tc>
        <w:tc>
          <w:tcPr>
            <w:tcW w:w="1257" w:type="dxa"/>
            <w:tcBorders>
              <w:top w:val="nil"/>
              <w:bottom w:val="single" w:color="auto" w:sz="4" w:space="0"/>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9,90%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35" w:type="dxa"/>
            <w:tcBorders>
              <w:top w:val="single" w:color="auto" w:sz="4" w:space="0"/>
              <w:left w:val="nil"/>
              <w:right w:val="nil"/>
              <w:insideV w:val="nil"/>
            </w:tcBorders>
            <w:shd w:val="clear" w:color="auto" w:fill="auto"/>
          </w:tcPr>
          <w:p>
            <w:pPr>
              <w:spacing w:after="0" w:line="235" w:lineRule="auto"/>
              <w:rPr>
                <w:rFonts w:ascii="Times New Roman" w:hAnsi="Times New Roman" w:cs="Times New Roman"/>
                <w:b w:val="0"/>
                <w:bCs/>
                <w:color w:val="000000" w:themeColor="text1" w:themeShade="BF"/>
                <w:sz w:val="20"/>
                <w:szCs w:val="20"/>
              </w:rPr>
            </w:pPr>
            <w:r>
              <w:rPr>
                <w:rFonts w:ascii="Times New Roman" w:hAnsi="Times New Roman" w:cs="Times New Roman"/>
                <w:b w:val="0"/>
                <w:bCs/>
                <w:color w:val="000000" w:themeColor="text1" w:themeShade="BF"/>
                <w:sz w:val="20"/>
                <w:szCs w:val="20"/>
              </w:rPr>
              <w:t xml:space="preserve">Total </w:t>
            </w:r>
          </w:p>
        </w:tc>
        <w:tc>
          <w:tcPr>
            <w:tcW w:w="1436" w:type="dxa"/>
            <w:tcBorders>
              <w:top w:val="single" w:color="auto" w:sz="4" w:space="0"/>
              <w:right w:val="nil"/>
              <w:insideV w:val="nil"/>
            </w:tcBorders>
            <w:shd w:val="clear" w:color="auto" w:fill="auto"/>
          </w:tcPr>
          <w:p>
            <w:pPr>
              <w:pStyle w:val="6"/>
              <w:spacing w:after="0" w:line="235" w:lineRule="auto"/>
              <w:ind w:left="0"/>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293</w:t>
            </w:r>
          </w:p>
        </w:tc>
        <w:tc>
          <w:tcPr>
            <w:tcW w:w="1257" w:type="dxa"/>
            <w:tcBorders>
              <w:top w:val="single" w:color="auto" w:sz="4" w:space="0"/>
              <w:right w:val="nil"/>
              <w:insideV w:val="nil"/>
            </w:tcBorders>
            <w:shd w:val="clear" w:color="auto" w:fill="auto"/>
          </w:tcPr>
          <w:p>
            <w:pPr>
              <w:spacing w:after="0" w:line="240" w:lineRule="auto"/>
              <w:ind w:hanging="433"/>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lang w:eastAsia="id-ID"/>
              </w:rPr>
              <w:t>100%</w:t>
            </w:r>
          </w:p>
        </w:tc>
      </w:tr>
    </w:tbl>
    <w:p>
      <w:pPr>
        <w:spacing w:after="0" w:line="480" w:lineRule="auto"/>
        <w:jc w:val="both"/>
        <w:outlineLvl w:val="0"/>
        <w:rPr>
          <w:rFonts w:ascii="Times New Roman" w:hAnsi="Times New Roman" w:cs="Times New Roman"/>
          <w:sz w:val="24"/>
          <w:szCs w:val="24"/>
        </w:rPr>
      </w:pPr>
    </w:p>
    <w:p>
      <w:pPr>
        <w:spacing w:after="0" w:line="48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Pada tabel 1 terlihat bahwa populasi pasien hipertensi terbanyak berdasarkan umur pasien terdapat pada kelompok umur &gt;50 tahun sebanyak 149 pasien (50,85%), hal ini sesuai dengan pendapat Mansjoer (1999) yang menyatakan bahwa semakin bertambahnya umur maka akan semakin tinggi mendapatkan resiko hipertensi. Setelah umur 45 tahun, dinding arteri akan mengalami penebalan karena adanya penumpukan zat kolagen pada lapisan otot sehingga pembuluh darah akan berangsur-angsur menyempit dan menjadi kaku.</w:t>
      </w:r>
    </w:p>
    <w:p>
      <w:pPr>
        <w:spacing w:after="0" w:line="48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Berdasarkan tabel 1 pada pasien hipertensi menunjukan bahwa pasien dengan jenis kelamin perempuan lebih banyak, sekitar 154 pasien (</w:t>
      </w:r>
      <w:r>
        <w:rPr>
          <w:rFonts w:ascii="Times New Roman" w:hAnsi="Times New Roman" w:eastAsia="Times New Roman" w:cs="Times New Roman"/>
          <w:color w:val="000000"/>
          <w:sz w:val="24"/>
          <w:szCs w:val="24"/>
          <w:lang w:eastAsia="id-ID"/>
        </w:rPr>
        <w:t>52,56%)</w:t>
      </w:r>
      <w:r>
        <w:rPr>
          <w:rFonts w:ascii="Calibri" w:hAnsi="Calibri" w:eastAsia="Times New Roman" w:cs="Calibri"/>
          <w:color w:val="000000"/>
          <w:lang w:eastAsia="id-ID"/>
        </w:rPr>
        <w:t xml:space="preserve"> </w:t>
      </w:r>
      <w:r>
        <w:rPr>
          <w:rFonts w:ascii="Times New Roman" w:hAnsi="Times New Roman" w:cs="Times New Roman"/>
          <w:sz w:val="24"/>
          <w:szCs w:val="24"/>
        </w:rPr>
        <w:t>sedangkan laki-laki dengan 139 (45,44%), hal ini sesuai dengan literatur jika perempuan mempunyai resiko lebih tinggi untuk terkena hipertensi dibanding laki-laki (Mansjoer, 1999). Menurut Bustan, (1997) bahwa wanita lebih banyak menderita hipertensi dibandingkan laki-laki hal ini disebabkan karena terdapat hormon estrogen pada wanita, faktor lain juga yang bisa menyebabkan terjadinya hipertensi pada wanita yaitu kelebihan berat badan dan stres.</w:t>
      </w:r>
    </w:p>
    <w:p>
      <w:pPr>
        <w:spacing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t>Pada tabel 1 terlihat bahwa pasien hipertensi dengan tanpa komorbid paling banyak yaitu 122 pasien (</w:t>
      </w:r>
      <w:r>
        <w:rPr>
          <w:rFonts w:ascii="Times New Roman" w:hAnsi="Times New Roman" w:eastAsia="Times New Roman" w:cs="Times New Roman"/>
          <w:color w:val="000000"/>
          <w:sz w:val="24"/>
          <w:szCs w:val="24"/>
          <w:lang w:eastAsia="id-ID"/>
        </w:rPr>
        <w:t>41,64%)</w:t>
      </w:r>
      <w:r>
        <w:rPr>
          <w:rFonts w:ascii="Calibri" w:hAnsi="Calibri" w:eastAsia="Times New Roman" w:cs="Calibri"/>
          <w:color w:val="000000"/>
          <w:lang w:eastAsia="id-ID"/>
        </w:rPr>
        <w:t xml:space="preserve"> </w:t>
      </w:r>
      <w:r>
        <w:rPr>
          <w:rFonts w:ascii="Times New Roman" w:hAnsi="Times New Roman" w:cs="Times New Roman"/>
          <w:sz w:val="24"/>
          <w:szCs w:val="24"/>
        </w:rPr>
        <w:t>Komorbiditas dengan hipertensi dapat saling memperberat oleh karena penurunan fungsi organ tubuh dan fungsi tubuh lain, persepsi pasien tentang kehidupan, atau pengaruh interaksi obat.</w:t>
      </w:r>
    </w:p>
    <w:p>
      <w:pPr>
        <w:spacing w:after="0" w:line="480" w:lineRule="auto"/>
        <w:ind w:firstLine="360"/>
        <w:jc w:val="both"/>
        <w:outlineLvl w:val="0"/>
        <w:rPr>
          <w:rFonts w:ascii="Times New Roman" w:hAnsi="Times New Roman" w:cs="Times New Roman"/>
          <w:sz w:val="24"/>
          <w:szCs w:val="24"/>
        </w:rPr>
      </w:pPr>
      <w:r>
        <w:rPr>
          <w:rFonts w:ascii="Times New Roman" w:hAnsi="Times New Roman" w:cs="Times New Roman"/>
          <w:sz w:val="24"/>
          <w:szCs w:val="24"/>
        </w:rPr>
        <w:t>Tabel 1 pada pasien hipertensi menunjukan bahwa pemakaian 1 jenis obat lebih banyak sekitar 107 (</w:t>
      </w:r>
      <w:r>
        <w:rPr>
          <w:rFonts w:ascii="Times New Roman" w:hAnsi="Times New Roman" w:eastAsia="Times New Roman" w:cs="Times New Roman"/>
          <w:color w:val="000000"/>
          <w:sz w:val="24"/>
          <w:szCs w:val="24"/>
          <w:lang w:eastAsia="id-ID"/>
        </w:rPr>
        <w:t>36,52%)</w:t>
      </w:r>
      <w:r>
        <w:rPr>
          <w:rFonts w:ascii="Calibri" w:hAnsi="Calibri" w:eastAsia="Times New Roman" w:cs="Calibri"/>
          <w:color w:val="000000"/>
          <w:lang w:eastAsia="id-ID"/>
        </w:rPr>
        <w:t xml:space="preserve"> </w:t>
      </w:r>
      <w:r>
        <w:rPr>
          <w:rFonts w:ascii="Times New Roman" w:hAnsi="Times New Roman" w:cs="Times New Roman"/>
          <w:sz w:val="24"/>
          <w:szCs w:val="24"/>
        </w:rPr>
        <w:t>hal ini disebabkan karena  pada pengobatan hipertensi biasanya dokter meresepkan antihipertensi mulai dengan regimen tunggal (dosis rendah). Pasien yang mendapatkan sampai 3 jenis antihipertensi sebanyak  29 pasien (9,90%)</w:t>
      </w:r>
    </w:p>
    <w:p>
      <w:pPr>
        <w:pStyle w:val="6"/>
        <w:numPr>
          <w:ilvl w:val="3"/>
          <w:numId w:val="1"/>
        </w:numPr>
        <w:spacing w:after="0" w:line="480" w:lineRule="auto"/>
        <w:ind w:left="426" w:firstLine="0"/>
        <w:rPr>
          <w:rFonts w:ascii="Times New Roman" w:hAnsi="Times New Roman" w:cs="Times New Roman"/>
          <w:b/>
          <w:sz w:val="24"/>
          <w:szCs w:val="24"/>
        </w:rPr>
      </w:pPr>
      <w:r>
        <w:rPr>
          <w:rFonts w:ascii="Times New Roman" w:hAnsi="Times New Roman" w:cs="Times New Roman"/>
          <w:b/>
          <w:sz w:val="24"/>
          <w:szCs w:val="24"/>
        </w:rPr>
        <w:t xml:space="preserve"> Pola Penggunaan Antihipertensi</w:t>
      </w:r>
    </w:p>
    <w:p>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Tabel 2. Gambaran penggunaan obat Antihipertensi di RSUD Karanganyar</w:t>
      </w:r>
    </w:p>
    <w:tbl>
      <w:tblPr>
        <w:tblStyle w:val="5"/>
        <w:tblW w:w="4690" w:type="dxa"/>
        <w:jc w:val="center"/>
        <w:tblInd w:w="25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101"/>
        <w:gridCol w:w="510"/>
        <w:gridCol w:w="1657"/>
        <w:gridCol w:w="1786"/>
        <w:gridCol w:w="636"/>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none" w:color="auto" w:sz="0" w:space="0"/>
          </w:tblBorders>
          <w:tblLayout w:type="fixed"/>
          <w:tblCellMar>
            <w:top w:w="0" w:type="dxa"/>
            <w:left w:w="108" w:type="dxa"/>
            <w:bottom w:w="0" w:type="dxa"/>
            <w:right w:w="108" w:type="dxa"/>
          </w:tblCellMar>
        </w:tblPrEx>
        <w:trPr>
          <w:gridBefore w:val="1"/>
          <w:gridAfter w:val="3"/>
          <w:wBefore w:w="101" w:type="dxa"/>
          <w:wAfter w:w="4079" w:type="dxa"/>
          <w:trHeight w:val="275" w:hRule="atLeast"/>
          <w:jc w:val="center"/>
        </w:trPr>
        <w:tc>
          <w:tcPr>
            <w:tcW w:w="510" w:type="dxa"/>
            <w:tcBorders>
              <w:top w:val="nil"/>
              <w:bottom w:val="nil"/>
            </w:tcBorders>
          </w:tcPr>
          <w:p>
            <w:pPr>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4" w:hRule="atLeast"/>
        </w:trPr>
        <w:tc>
          <w:tcPr>
            <w:tcW w:w="2268" w:type="dxa"/>
            <w:gridSpan w:val="3"/>
            <w:tcBorders>
              <w:top w:val="single" w:color="auto" w:sz="4" w:space="0"/>
              <w:left w:val="nil"/>
              <w:bottom w:val="single" w:color="auto" w:sz="4" w:space="0"/>
              <w:right w:val="nil"/>
            </w:tcBorders>
          </w:tcPr>
          <w:p>
            <w:pPr>
              <w:spacing w:after="0" w:line="480" w:lineRule="auto"/>
              <w:jc w:val="center"/>
              <w:rPr>
                <w:rFonts w:ascii="Times New Roman" w:hAnsi="Times New Roman" w:cs="Times New Roman"/>
                <w:sz w:val="18"/>
                <w:szCs w:val="18"/>
              </w:rPr>
            </w:pPr>
            <w:r>
              <w:rPr>
                <w:rFonts w:ascii="Times New Roman" w:hAnsi="Times New Roman" w:cs="Times New Roman"/>
                <w:sz w:val="18"/>
                <w:szCs w:val="18"/>
              </w:rPr>
              <w:t>Pola Penggunaan Obat</w:t>
            </w:r>
          </w:p>
        </w:tc>
        <w:tc>
          <w:tcPr>
            <w:tcW w:w="1786" w:type="dxa"/>
            <w:tcBorders>
              <w:top w:val="single" w:color="auto" w:sz="4" w:space="0"/>
              <w:left w:val="nil"/>
              <w:bottom w:val="single" w:color="auto" w:sz="4" w:space="0"/>
              <w:right w:val="nil"/>
            </w:tcBorders>
          </w:tcPr>
          <w:p>
            <w:pPr>
              <w:spacing w:after="0" w:line="480" w:lineRule="auto"/>
              <w:jc w:val="center"/>
              <w:rPr>
                <w:rFonts w:ascii="Times New Roman" w:hAnsi="Times New Roman" w:cs="Times New Roman"/>
                <w:sz w:val="18"/>
                <w:szCs w:val="18"/>
              </w:rPr>
            </w:pPr>
            <w:r>
              <w:rPr>
                <w:rFonts w:ascii="Times New Roman" w:hAnsi="Times New Roman" w:cs="Times New Roman"/>
                <w:sz w:val="18"/>
                <w:szCs w:val="18"/>
              </w:rPr>
              <w:t>Jumlah pasien</w:t>
            </w:r>
          </w:p>
        </w:tc>
        <w:tc>
          <w:tcPr>
            <w:tcW w:w="636" w:type="dxa"/>
            <w:tcBorders>
              <w:top w:val="single" w:color="auto" w:sz="4" w:space="0"/>
              <w:left w:val="nil"/>
              <w:bottom w:val="single" w:color="auto" w:sz="4" w:space="0"/>
              <w:right w:val="nil"/>
            </w:tcBorders>
          </w:tcPr>
          <w:p>
            <w:pPr>
              <w:spacing w:after="0" w:line="480" w:lineRule="auto"/>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single" w:color="auto" w:sz="4" w:space="0"/>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Pemakaian Tunggal</w:t>
            </w:r>
          </w:p>
        </w:tc>
        <w:tc>
          <w:tcPr>
            <w:tcW w:w="1786" w:type="dxa"/>
            <w:tcBorders>
              <w:top w:val="single" w:color="auto" w:sz="4" w:space="0"/>
              <w:left w:val="nil"/>
              <w:bottom w:val="nil"/>
              <w:right w:val="nil"/>
            </w:tcBorders>
          </w:tcPr>
          <w:p>
            <w:pPr>
              <w:spacing w:after="0" w:line="240" w:lineRule="auto"/>
              <w:jc w:val="both"/>
              <w:rPr>
                <w:rFonts w:ascii="Times New Roman" w:hAnsi="Times New Roman" w:cs="Times New Roman"/>
                <w:sz w:val="18"/>
                <w:szCs w:val="18"/>
              </w:rPr>
            </w:pPr>
          </w:p>
        </w:tc>
        <w:tc>
          <w:tcPr>
            <w:tcW w:w="636" w:type="dxa"/>
            <w:tcBorders>
              <w:top w:val="single" w:color="auto" w:sz="4" w:space="0"/>
              <w:left w:val="nil"/>
              <w:bottom w:val="nil"/>
              <w:right w:val="nil"/>
            </w:tcBorders>
          </w:tcPr>
          <w:p>
            <w:pPr>
              <w:spacing w:after="0" w:line="240" w:lineRule="auto"/>
              <w:jc w:val="both"/>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Spironolakton</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4,10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Hidroklortiazid</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7,85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Furosemide</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4,78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Nifedipin</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5,46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Amlodipin</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3,41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Kaptopril</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4,78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Valsartan</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2,39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Losartan</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0,68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Bisoprolol</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single" w:color="auto" w:sz="4" w:space="0"/>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Propanolol</w:t>
            </w:r>
          </w:p>
        </w:tc>
        <w:tc>
          <w:tcPr>
            <w:tcW w:w="1786" w:type="dxa"/>
            <w:tcBorders>
              <w:top w:val="nil"/>
              <w:left w:val="nil"/>
              <w:bottom w:val="single" w:color="auto" w:sz="4" w:space="0"/>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636"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single" w:color="auto" w:sz="4" w:space="0"/>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Kombinasi 2</w:t>
            </w:r>
          </w:p>
        </w:tc>
        <w:tc>
          <w:tcPr>
            <w:tcW w:w="1786" w:type="dxa"/>
            <w:tcBorders>
              <w:top w:val="single" w:color="auto" w:sz="4" w:space="0"/>
              <w:left w:val="nil"/>
              <w:bottom w:val="nil"/>
              <w:right w:val="nil"/>
            </w:tcBorders>
          </w:tcPr>
          <w:p>
            <w:pPr>
              <w:spacing w:after="0" w:line="240" w:lineRule="auto"/>
              <w:jc w:val="center"/>
              <w:rPr>
                <w:rFonts w:ascii="Times New Roman" w:hAnsi="Times New Roman" w:cs="Times New Roman"/>
                <w:sz w:val="18"/>
                <w:szCs w:val="18"/>
              </w:rPr>
            </w:pPr>
          </w:p>
        </w:tc>
        <w:tc>
          <w:tcPr>
            <w:tcW w:w="636" w:type="dxa"/>
            <w:tcBorders>
              <w:top w:val="single" w:color="auto" w:sz="4" w:space="0"/>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Kaptopril-Nifedipin</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9,22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Kaptopril-HCT</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56</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19,11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Kaptopril-Amlodipin</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45</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15,36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single" w:color="auto" w:sz="4" w:space="0"/>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Amlodipin-Bisoprolol</w:t>
            </w:r>
          </w:p>
        </w:tc>
        <w:tc>
          <w:tcPr>
            <w:tcW w:w="1786" w:type="dxa"/>
            <w:tcBorders>
              <w:top w:val="nil"/>
              <w:left w:val="nil"/>
              <w:bottom w:val="single" w:color="auto" w:sz="4" w:space="0"/>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636"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9,90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single" w:color="auto" w:sz="4" w:space="0"/>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Kombinasi 3</w:t>
            </w:r>
          </w:p>
        </w:tc>
        <w:tc>
          <w:tcPr>
            <w:tcW w:w="1786" w:type="dxa"/>
            <w:tcBorders>
              <w:top w:val="single" w:color="auto" w:sz="4" w:space="0"/>
              <w:left w:val="nil"/>
              <w:bottom w:val="nil"/>
              <w:right w:val="nil"/>
            </w:tcBorders>
          </w:tcPr>
          <w:p>
            <w:pPr>
              <w:spacing w:after="0" w:line="240" w:lineRule="auto"/>
              <w:jc w:val="center"/>
              <w:rPr>
                <w:rFonts w:ascii="Times New Roman" w:hAnsi="Times New Roman" w:cs="Times New Roman"/>
                <w:sz w:val="18"/>
                <w:szCs w:val="18"/>
              </w:rPr>
            </w:pPr>
          </w:p>
        </w:tc>
        <w:tc>
          <w:tcPr>
            <w:tcW w:w="636" w:type="dxa"/>
            <w:tcBorders>
              <w:top w:val="single" w:color="auto" w:sz="4" w:space="0"/>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Kaptopril-Nifedipin-HCT</w:t>
            </w:r>
          </w:p>
        </w:tc>
        <w:tc>
          <w:tcPr>
            <w:tcW w:w="1786" w:type="dxa"/>
            <w:tcBorders>
              <w:top w:val="nil"/>
              <w:left w:val="nil"/>
              <w:bottom w:val="nil"/>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636"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3,75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nil"/>
              <w:left w:val="nil"/>
              <w:bottom w:val="single" w:color="auto" w:sz="4" w:space="0"/>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Kaptopril-Nifedipin-Furosemid</w:t>
            </w:r>
          </w:p>
        </w:tc>
        <w:tc>
          <w:tcPr>
            <w:tcW w:w="1786" w:type="dxa"/>
            <w:tcBorders>
              <w:top w:val="nil"/>
              <w:left w:val="nil"/>
              <w:bottom w:val="single" w:color="auto" w:sz="4" w:space="0"/>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636"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color w:val="000000"/>
                <w:sz w:val="18"/>
                <w:szCs w:val="18"/>
                <w:lang w:eastAsia="id-ID"/>
              </w:rPr>
            </w:pPr>
            <w:r>
              <w:rPr>
                <w:rFonts w:ascii="Times New Roman" w:hAnsi="Times New Roman" w:eastAsia="Times New Roman" w:cs="Times New Roman"/>
                <w:color w:val="000000"/>
                <w:sz w:val="18"/>
                <w:szCs w:val="18"/>
                <w:lang w:eastAsia="id-ID"/>
              </w:rPr>
              <w:t>6,14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68" w:type="dxa"/>
            <w:gridSpan w:val="3"/>
            <w:tcBorders>
              <w:top w:val="single" w:color="auto" w:sz="4" w:space="0"/>
              <w:left w:val="nil"/>
              <w:bottom w:val="single" w:color="auto" w:sz="4" w:space="0"/>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Jumlah</w:t>
            </w:r>
          </w:p>
        </w:tc>
        <w:tc>
          <w:tcPr>
            <w:tcW w:w="1786" w:type="dxa"/>
            <w:tcBorders>
              <w:top w:val="single" w:color="auto" w:sz="4" w:space="0"/>
              <w:left w:val="nil"/>
              <w:bottom w:val="single" w:color="auto" w:sz="4" w:space="0"/>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293</w:t>
            </w:r>
          </w:p>
        </w:tc>
        <w:tc>
          <w:tcPr>
            <w:tcW w:w="636" w:type="dxa"/>
            <w:tcBorders>
              <w:top w:val="single" w:color="auto" w:sz="4" w:space="0"/>
              <w:left w:val="nil"/>
              <w:bottom w:val="single" w:color="auto" w:sz="4" w:space="0"/>
              <w:right w:val="nil"/>
            </w:tcBorders>
          </w:tcPr>
          <w:p>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r>
    </w:tbl>
    <w:p>
      <w:pPr>
        <w:spacing w:after="0" w:line="480" w:lineRule="auto"/>
        <w:jc w:val="both"/>
        <w:outlineLvl w:val="0"/>
        <w:rPr>
          <w:rFonts w:ascii="Times New Roman" w:hAnsi="Times New Roman" w:cs="Times New Roman"/>
          <w:sz w:val="24"/>
          <w:szCs w:val="24"/>
        </w:rPr>
      </w:pPr>
    </w:p>
    <w:p>
      <w:pPr>
        <w:spacing w:after="0" w:line="47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tabel 2 terlihat pasien yang menerima kombinasi kaptopril-HCT paling banyak dengan jumlah 56 pasien (19,11%). Kaptopril merupakan antihipertensi golongan ACE Inhibitor yang paling banyak digunakan, kaptopril paling sering dikombinasikan dengan anthipertensi golongan diuretik yaitu hidroklortiazide. Pasien mendapatkan terapi dengan golongan ACE-Inhibitor, dimana penghambat ACE mempunyai efek vasodilatasi dan mengurangi retensi garam dan air. Pengobatan penghambat ACE umunya digunakan untuk pengobatan hipertensi ringan dan sampai berat dan pada dekompensasi jantung. Sehingga ACE inhibitor juga efektif untuk hipertensi </w:t>
      </w:r>
      <w:r>
        <w:rPr>
          <w:rFonts w:ascii="Times New Roman" w:hAnsi="Times New Roman" w:cs="Times New Roman"/>
          <w:i/>
          <w:sz w:val="24"/>
          <w:szCs w:val="24"/>
        </w:rPr>
        <w:t>stage</w:t>
      </w:r>
      <w:r>
        <w:rPr>
          <w:rFonts w:ascii="Times New Roman" w:hAnsi="Times New Roman" w:cs="Times New Roman"/>
          <w:sz w:val="24"/>
          <w:szCs w:val="24"/>
        </w:rPr>
        <w:t xml:space="preserve"> II dan efek sampingnya dapat ditoleransi dengan baik, ACE inhibitor dapat digunakn tunggal maupun dikombinasikan dengan obat lain (biasanya dengan diuretik). </w:t>
      </w:r>
    </w:p>
    <w:p>
      <w:pPr>
        <w:spacing w:after="0" w:line="475" w:lineRule="auto"/>
        <w:ind w:firstLine="709"/>
        <w:jc w:val="both"/>
        <w:rPr>
          <w:rFonts w:ascii="Times New Roman" w:hAnsi="Times New Roman" w:cs="Times New Roman"/>
          <w:sz w:val="24"/>
          <w:szCs w:val="24"/>
        </w:rPr>
      </w:pPr>
    </w:p>
    <w:p>
      <w:pPr>
        <w:pStyle w:val="6"/>
        <w:numPr>
          <w:ilvl w:val="3"/>
          <w:numId w:val="1"/>
        </w:numPr>
        <w:spacing w:after="0" w:line="24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Hubungan Faktor yang Berpengaruh Terhadap Ketidakpatuhan Pasien</w:t>
      </w:r>
    </w:p>
    <w:p>
      <w:pPr>
        <w:pStyle w:val="6"/>
        <w:spacing w:after="0" w:line="240" w:lineRule="auto"/>
        <w:ind w:left="709"/>
        <w:jc w:val="both"/>
        <w:rPr>
          <w:rFonts w:ascii="Times New Roman" w:hAnsi="Times New Roman" w:cs="Times New Roman"/>
          <w:b/>
          <w:sz w:val="24"/>
          <w:szCs w:val="24"/>
        </w:rPr>
      </w:pPr>
    </w:p>
    <w:p>
      <w:pPr>
        <w:spacing w:after="0" w:line="451"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Pada penelitian ini pasien dibedakan menjadi 2 kelompok yaitu kelompok pasien patuh dan kelompok  pasien tidak patuh. Pengukuran tingkat kepatuhan  pasien hipertensi dikatakan patuh bila pasien terseburt senantiasa kembali ke rumah sakit untuk melakukan kontrol sesuai dengan waktu yang telah ditentukan, biasanya 1 bulan sekali. </w:t>
      </w:r>
    </w:p>
    <w:p>
      <w:pPr>
        <w:jc w:val="both"/>
        <w:rPr>
          <w:rFonts w:ascii="Times New Roman" w:hAnsi="Times New Roman" w:cs="Times New Roman"/>
          <w:b/>
          <w:sz w:val="20"/>
          <w:szCs w:val="20"/>
        </w:rPr>
      </w:pPr>
      <w:r>
        <w:rPr>
          <w:rFonts w:ascii="Times New Roman" w:hAnsi="Times New Roman" w:cs="Times New Roman"/>
          <w:b/>
          <w:sz w:val="20"/>
          <w:szCs w:val="20"/>
        </w:rPr>
        <w:t>Tabel 3.</w:t>
      </w:r>
      <w:r>
        <w:rPr>
          <w:rFonts w:ascii="Times New Roman" w:hAnsi="Times New Roman" w:cs="Times New Roman"/>
          <w:b/>
          <w:sz w:val="20"/>
          <w:szCs w:val="20"/>
        </w:rPr>
        <w:tab/>
      </w:r>
      <w:r>
        <w:rPr>
          <w:rFonts w:ascii="Times New Roman" w:hAnsi="Times New Roman" w:cs="Times New Roman"/>
          <w:b/>
          <w:sz w:val="20"/>
          <w:szCs w:val="20"/>
        </w:rPr>
        <w:t>Hubungan ketidakpatuhan pasien dengan umur, jenis kelamin, komorbid dan jumlah obat</w:t>
      </w:r>
    </w:p>
    <w:tbl>
      <w:tblPr>
        <w:tblStyle w:val="8"/>
        <w:tblW w:w="4414"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9"/>
        <w:gridCol w:w="1027"/>
        <w:gridCol w:w="957"/>
        <w:gridCol w:w="621"/>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single" w:color="000000" w:themeColor="text1" w:sz="8" w:space="0"/>
              <w:left w:val="nil"/>
              <w:bottom w:val="single" w:color="000000" w:themeColor="text1" w:sz="8" w:space="0"/>
              <w:right w:val="nil"/>
              <w:insideH w:val="single" w:sz="8" w:space="0"/>
              <w:insideV w:val="nil"/>
            </w:tcBorders>
            <w:shd w:val="clear" w:color="auto" w:fill="auto"/>
          </w:tcPr>
          <w:p>
            <w:pPr>
              <w:pStyle w:val="6"/>
              <w:spacing w:before="0" w:after="0" w:line="240" w:lineRule="auto"/>
              <w:ind w:left="0"/>
              <w:jc w:val="center"/>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Karakteristik</w:t>
            </w:r>
          </w:p>
        </w:tc>
        <w:tc>
          <w:tcPr>
            <w:tcW w:w="1027" w:type="dxa"/>
            <w:tcBorders>
              <w:top w:val="single" w:color="000000" w:themeColor="text1" w:sz="8" w:space="0"/>
              <w:bottom w:val="single" w:color="000000" w:themeColor="text1" w:sz="8" w:space="0"/>
              <w:right w:val="nil"/>
              <w:insideH w:val="single" w:sz="8" w:space="0"/>
              <w:insideV w:val="nil"/>
            </w:tcBorders>
            <w:shd w:val="clear" w:color="auto" w:fill="auto"/>
          </w:tcPr>
          <w:p>
            <w:pPr>
              <w:pStyle w:val="6"/>
              <w:spacing w:before="0" w:after="0" w:line="240" w:lineRule="auto"/>
              <w:ind w:left="0"/>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Jumlah pasien (Patuh)</w:t>
            </w:r>
          </w:p>
        </w:tc>
        <w:tc>
          <w:tcPr>
            <w:tcW w:w="957" w:type="dxa"/>
            <w:tcBorders>
              <w:top w:val="single" w:color="000000" w:themeColor="text1" w:sz="8" w:space="0"/>
              <w:bottom w:val="single" w:color="000000" w:themeColor="text1" w:sz="8" w:space="0"/>
              <w:right w:val="nil"/>
              <w:insideH w:val="single" w:sz="8" w:space="0"/>
              <w:insideV w:val="nil"/>
            </w:tcBorders>
            <w:shd w:val="clear" w:color="auto" w:fill="auto"/>
          </w:tcPr>
          <w:p>
            <w:pPr>
              <w:pStyle w:val="6"/>
              <w:spacing w:before="0" w:after="0" w:line="240" w:lineRule="auto"/>
              <w:ind w:left="-138" w:firstLine="138"/>
              <w:jc w:val="center"/>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Jumlah pasien (tidak patuh)</w:t>
            </w:r>
          </w:p>
        </w:tc>
        <w:tc>
          <w:tcPr>
            <w:tcW w:w="621" w:type="dxa"/>
            <w:tcBorders>
              <w:top w:val="single" w:color="000000" w:themeColor="text1" w:sz="8" w:space="0"/>
              <w:bottom w:val="single" w:color="000000" w:themeColor="text1" w:sz="8" w:space="0"/>
              <w:right w:val="nil"/>
              <w:insideH w:val="single" w:sz="8" w:space="0"/>
              <w:insideV w:val="nil"/>
            </w:tcBorders>
            <w:shd w:val="clear" w:color="auto" w:fill="auto"/>
          </w:tcPr>
          <w:p>
            <w:pPr>
              <w:pStyle w:val="6"/>
              <w:tabs>
                <w:tab w:val="left" w:pos="359"/>
              </w:tabs>
              <w:spacing w:before="0" w:after="0" w:line="240" w:lineRule="auto"/>
              <w:ind w:left="0"/>
              <w:jc w:val="center"/>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P</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single" w:color="000000" w:themeColor="text1" w:sz="8" w:space="0"/>
              <w:left w:val="nil"/>
              <w:bottom w:val="nil"/>
              <w:right w:val="nil"/>
              <w:insideV w:val="nil"/>
            </w:tcBorders>
            <w:shd w:val="clear" w:color="auto" w:fill="auto"/>
          </w:tcPr>
          <w:p>
            <w:pPr>
              <w:pStyle w:val="6"/>
              <w:spacing w:after="0" w:line="240" w:lineRule="auto"/>
              <w:ind w:left="0"/>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Umur</w:t>
            </w:r>
          </w:p>
        </w:tc>
        <w:tc>
          <w:tcPr>
            <w:tcW w:w="1027" w:type="dxa"/>
            <w:tcBorders>
              <w:top w:val="single" w:color="000000" w:themeColor="text1" w:sz="8" w:space="0"/>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957" w:type="dxa"/>
            <w:tcBorders>
              <w:top w:val="single" w:color="000000" w:themeColor="text1" w:sz="8" w:space="0"/>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621" w:type="dxa"/>
            <w:tcBorders>
              <w:top w:val="single" w:color="000000" w:themeColor="text1" w:sz="8" w:space="0"/>
              <w:bottom w:val="nil"/>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bottom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18-30</w:t>
            </w:r>
          </w:p>
        </w:tc>
        <w:tc>
          <w:tcPr>
            <w:tcW w:w="102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6</w:t>
            </w:r>
          </w:p>
        </w:tc>
        <w:tc>
          <w:tcPr>
            <w:tcW w:w="95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6</w:t>
            </w:r>
          </w:p>
        </w:tc>
        <w:tc>
          <w:tcPr>
            <w:tcW w:w="621" w:type="dxa"/>
            <w:tcBorders>
              <w:top w:val="nil"/>
              <w:bottom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left w:val="nil"/>
              <w:bottom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31-40</w:t>
            </w:r>
          </w:p>
        </w:tc>
        <w:tc>
          <w:tcPr>
            <w:tcW w:w="102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38</w:t>
            </w:r>
          </w:p>
        </w:tc>
        <w:tc>
          <w:tcPr>
            <w:tcW w:w="95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14</w:t>
            </w:r>
          </w:p>
        </w:tc>
        <w:tc>
          <w:tcPr>
            <w:tcW w:w="621" w:type="dxa"/>
            <w:tcBorders>
              <w:top w:val="nil"/>
              <w:bottom w:val="nil"/>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0,065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bottom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41-50</w:t>
            </w:r>
          </w:p>
        </w:tc>
        <w:tc>
          <w:tcPr>
            <w:tcW w:w="102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74</w:t>
            </w:r>
          </w:p>
        </w:tc>
        <w:tc>
          <w:tcPr>
            <w:tcW w:w="95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50</w:t>
            </w:r>
          </w:p>
        </w:tc>
        <w:tc>
          <w:tcPr>
            <w:tcW w:w="621" w:type="dxa"/>
            <w:tcBorders>
              <w:top w:val="nil"/>
              <w:bottom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left w:val="nil"/>
              <w:bottom w:val="single" w:color="auto" w:sz="4" w:space="0"/>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&gt;50</w:t>
            </w:r>
          </w:p>
        </w:tc>
        <w:tc>
          <w:tcPr>
            <w:tcW w:w="1027" w:type="dxa"/>
            <w:tcBorders>
              <w:top w:val="nil"/>
              <w:bottom w:val="single" w:color="auto" w:sz="4" w:space="0"/>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46</w:t>
            </w:r>
          </w:p>
        </w:tc>
        <w:tc>
          <w:tcPr>
            <w:tcW w:w="957" w:type="dxa"/>
            <w:tcBorders>
              <w:top w:val="nil"/>
              <w:bottom w:val="single" w:color="auto" w:sz="4" w:space="0"/>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59</w:t>
            </w:r>
          </w:p>
        </w:tc>
        <w:tc>
          <w:tcPr>
            <w:tcW w:w="621" w:type="dxa"/>
            <w:tcBorders>
              <w:top w:val="nil"/>
              <w:bottom w:val="single" w:color="auto" w:sz="4" w:space="0"/>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single" w:color="auto" w:sz="4" w:space="0"/>
              <w:bottom w:val="nil"/>
            </w:tcBorders>
            <w:shd w:val="clear" w:color="auto" w:fill="auto"/>
          </w:tcPr>
          <w:p>
            <w:pPr>
              <w:pStyle w:val="6"/>
              <w:spacing w:after="0" w:line="240" w:lineRule="auto"/>
              <w:ind w:left="0"/>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Jenis kelamin</w:t>
            </w:r>
          </w:p>
        </w:tc>
        <w:tc>
          <w:tcPr>
            <w:tcW w:w="1027" w:type="dxa"/>
            <w:tcBorders>
              <w:top w:val="single" w:color="auto" w:sz="4" w:space="0"/>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957" w:type="dxa"/>
            <w:tcBorders>
              <w:top w:val="single" w:color="auto" w:sz="4" w:space="0"/>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621" w:type="dxa"/>
            <w:tcBorders>
              <w:top w:val="single" w:color="auto" w:sz="4" w:space="0"/>
              <w:bottom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left w:val="nil"/>
              <w:bottom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Laki-laki</w:t>
            </w:r>
          </w:p>
        </w:tc>
        <w:tc>
          <w:tcPr>
            <w:tcW w:w="102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91</w:t>
            </w:r>
          </w:p>
        </w:tc>
        <w:tc>
          <w:tcPr>
            <w:tcW w:w="95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48</w:t>
            </w:r>
          </w:p>
        </w:tc>
        <w:tc>
          <w:tcPr>
            <w:tcW w:w="621" w:type="dxa"/>
            <w:tcBorders>
              <w:top w:val="nil"/>
              <w:bottom w:val="nil"/>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0,002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bottom w:val="single" w:color="auto" w:sz="4" w:space="0"/>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Perempuan</w:t>
            </w:r>
          </w:p>
        </w:tc>
        <w:tc>
          <w:tcPr>
            <w:tcW w:w="1027" w:type="dxa"/>
            <w:tcBorders>
              <w:top w:val="nil"/>
              <w:bottom w:val="single" w:color="auto" w:sz="4" w:space="0"/>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73</w:t>
            </w:r>
          </w:p>
        </w:tc>
        <w:tc>
          <w:tcPr>
            <w:tcW w:w="957" w:type="dxa"/>
            <w:tcBorders>
              <w:top w:val="nil"/>
              <w:bottom w:val="single" w:color="auto" w:sz="4" w:space="0"/>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81</w:t>
            </w:r>
          </w:p>
        </w:tc>
        <w:tc>
          <w:tcPr>
            <w:tcW w:w="621" w:type="dxa"/>
            <w:tcBorders>
              <w:top w:val="nil"/>
              <w:bottom w:val="single" w:color="auto" w:sz="4" w:space="0"/>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single" w:color="auto" w:sz="4" w:space="0"/>
              <w:left w:val="nil"/>
              <w:bottom w:val="nil"/>
              <w:right w:val="nil"/>
              <w:insideV w:val="nil"/>
            </w:tcBorders>
            <w:shd w:val="clear" w:color="auto" w:fill="auto"/>
          </w:tcPr>
          <w:p>
            <w:pPr>
              <w:pStyle w:val="6"/>
              <w:spacing w:after="0" w:line="240" w:lineRule="auto"/>
              <w:ind w:left="0"/>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Komorbid</w:t>
            </w:r>
          </w:p>
        </w:tc>
        <w:tc>
          <w:tcPr>
            <w:tcW w:w="1027" w:type="dxa"/>
            <w:tcBorders>
              <w:top w:val="single" w:color="auto" w:sz="4" w:space="0"/>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957" w:type="dxa"/>
            <w:tcBorders>
              <w:top w:val="single" w:color="auto" w:sz="4" w:space="0"/>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621" w:type="dxa"/>
            <w:tcBorders>
              <w:top w:val="single" w:color="auto" w:sz="4" w:space="0"/>
              <w:bottom w:val="nil"/>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bottom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Tanpa komorbid</w:t>
            </w:r>
          </w:p>
        </w:tc>
        <w:tc>
          <w:tcPr>
            <w:tcW w:w="102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99</w:t>
            </w:r>
          </w:p>
        </w:tc>
        <w:tc>
          <w:tcPr>
            <w:tcW w:w="95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23</w:t>
            </w:r>
          </w:p>
        </w:tc>
        <w:tc>
          <w:tcPr>
            <w:tcW w:w="621" w:type="dxa"/>
            <w:tcBorders>
              <w:top w:val="nil"/>
              <w:bottom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left w:val="nil"/>
              <w:bottom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Hipertensi +DM</w:t>
            </w:r>
          </w:p>
        </w:tc>
        <w:tc>
          <w:tcPr>
            <w:tcW w:w="102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35</w:t>
            </w:r>
          </w:p>
        </w:tc>
        <w:tc>
          <w:tcPr>
            <w:tcW w:w="95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46</w:t>
            </w:r>
          </w:p>
        </w:tc>
        <w:tc>
          <w:tcPr>
            <w:tcW w:w="621" w:type="dxa"/>
            <w:tcBorders>
              <w:top w:val="nil"/>
              <w:bottom w:val="nil"/>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bottom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Hipertensi + Kolesterol</w:t>
            </w:r>
          </w:p>
        </w:tc>
        <w:tc>
          <w:tcPr>
            <w:tcW w:w="102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20</w:t>
            </w:r>
          </w:p>
        </w:tc>
        <w:tc>
          <w:tcPr>
            <w:tcW w:w="95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37</w:t>
            </w:r>
          </w:p>
        </w:tc>
        <w:tc>
          <w:tcPr>
            <w:tcW w:w="621" w:type="dxa"/>
            <w:tcBorders>
              <w:top w:val="nil"/>
              <w:bottom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0,000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left w:val="nil"/>
              <w:bottom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Hipertensi + DM + jantung</w:t>
            </w:r>
          </w:p>
        </w:tc>
        <w:tc>
          <w:tcPr>
            <w:tcW w:w="102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8</w:t>
            </w:r>
          </w:p>
        </w:tc>
        <w:tc>
          <w:tcPr>
            <w:tcW w:w="957" w:type="dxa"/>
            <w:tcBorders>
              <w:top w:val="nil"/>
              <w:bottom w:val="nil"/>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14</w:t>
            </w:r>
          </w:p>
        </w:tc>
        <w:tc>
          <w:tcPr>
            <w:tcW w:w="621" w:type="dxa"/>
            <w:tcBorders>
              <w:top w:val="nil"/>
              <w:bottom w:val="nil"/>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nil"/>
              <w:bottom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Hipertensi + asam urat +kolesterol</w:t>
            </w:r>
          </w:p>
        </w:tc>
        <w:tc>
          <w:tcPr>
            <w:tcW w:w="102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2</w:t>
            </w:r>
          </w:p>
        </w:tc>
        <w:tc>
          <w:tcPr>
            <w:tcW w:w="957" w:type="dxa"/>
            <w:tcBorders>
              <w:top w:val="nil"/>
              <w:bottom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9</w:t>
            </w:r>
          </w:p>
        </w:tc>
        <w:tc>
          <w:tcPr>
            <w:tcW w:w="621" w:type="dxa"/>
            <w:tcBorders>
              <w:top w:val="nil"/>
              <w:bottom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 w:hRule="atLeast"/>
        </w:trPr>
        <w:tc>
          <w:tcPr>
            <w:tcW w:w="1809" w:type="dxa"/>
            <w:tcBorders>
              <w:top w:val="nil"/>
              <w:left w:val="nil"/>
              <w:bottom w:val="single" w:color="auto" w:sz="4" w:space="0"/>
              <w:right w:val="nil"/>
              <w:insideV w:val="nil"/>
            </w:tcBorders>
            <w:shd w:val="clear" w:color="auto" w:fill="auto"/>
          </w:tcPr>
          <w:p>
            <w:pPr>
              <w:pStyle w:val="6"/>
              <w:spacing w:after="0" w:line="240" w:lineRule="auto"/>
              <w:ind w:left="0"/>
              <w:rPr>
                <w:rFonts w:ascii="Times New Roman" w:hAnsi="Times New Roman" w:cs="Times New Roman"/>
                <w:b w:val="0"/>
                <w:bCs/>
                <w:color w:val="000000" w:themeColor="text1" w:themeShade="BF"/>
                <w:sz w:val="18"/>
                <w:szCs w:val="18"/>
              </w:rPr>
            </w:pPr>
          </w:p>
        </w:tc>
        <w:tc>
          <w:tcPr>
            <w:tcW w:w="1027" w:type="dxa"/>
            <w:tcBorders>
              <w:top w:val="nil"/>
              <w:bottom w:val="single" w:color="auto" w:sz="4" w:space="0"/>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957" w:type="dxa"/>
            <w:tcBorders>
              <w:top w:val="nil"/>
              <w:bottom w:val="single" w:color="auto" w:sz="4" w:space="0"/>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621" w:type="dxa"/>
            <w:tcBorders>
              <w:top w:val="nil"/>
              <w:bottom w:val="single" w:color="auto" w:sz="4" w:space="0"/>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top w:val="single" w:color="auto" w:sz="4" w:space="0"/>
            </w:tcBorders>
            <w:shd w:val="clear" w:color="auto" w:fill="auto"/>
          </w:tcPr>
          <w:p>
            <w:pPr>
              <w:pStyle w:val="6"/>
              <w:spacing w:after="0" w:line="240" w:lineRule="auto"/>
              <w:ind w:left="0"/>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Jumlah  obat</w:t>
            </w:r>
          </w:p>
        </w:tc>
        <w:tc>
          <w:tcPr>
            <w:tcW w:w="1027" w:type="dxa"/>
            <w:tcBorders>
              <w:top w:val="single" w:color="auto" w:sz="4" w:space="0"/>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957" w:type="dxa"/>
            <w:tcBorders>
              <w:top w:val="single" w:color="auto" w:sz="4" w:space="0"/>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p>
        </w:tc>
        <w:tc>
          <w:tcPr>
            <w:tcW w:w="621" w:type="dxa"/>
            <w:tcBorders>
              <w:top w:val="single" w:color="auto" w:sz="4" w:space="0"/>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left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1 jenis</w:t>
            </w:r>
          </w:p>
        </w:tc>
        <w:tc>
          <w:tcPr>
            <w:tcW w:w="1027" w:type="dxa"/>
            <w:tcBorders>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77</w:t>
            </w:r>
          </w:p>
        </w:tc>
        <w:tc>
          <w:tcPr>
            <w:tcW w:w="957" w:type="dxa"/>
            <w:tcBorders>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30</w:t>
            </w:r>
          </w:p>
        </w:tc>
        <w:tc>
          <w:tcPr>
            <w:tcW w:w="621" w:type="dxa"/>
            <w:tcBorders>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trPr>
        <w:tc>
          <w:tcPr>
            <w:tcW w:w="1809" w:type="dxa"/>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2 jenis</w:t>
            </w:r>
          </w:p>
        </w:tc>
        <w:tc>
          <w:tcPr>
            <w:tcW w:w="1027" w:type="dxa"/>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76</w:t>
            </w:r>
          </w:p>
        </w:tc>
        <w:tc>
          <w:tcPr>
            <w:tcW w:w="957" w:type="dxa"/>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81</w:t>
            </w:r>
          </w:p>
        </w:tc>
        <w:tc>
          <w:tcPr>
            <w:tcW w:w="621" w:type="dxa"/>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0,000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9" w:type="dxa"/>
            <w:tcBorders>
              <w:left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3 jenis</w:t>
            </w:r>
          </w:p>
        </w:tc>
        <w:tc>
          <w:tcPr>
            <w:tcW w:w="1027" w:type="dxa"/>
            <w:tcBorders>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11</w:t>
            </w:r>
          </w:p>
        </w:tc>
        <w:tc>
          <w:tcPr>
            <w:tcW w:w="957" w:type="dxa"/>
            <w:tcBorders>
              <w:right w:val="nil"/>
              <w:insideV w:val="nil"/>
            </w:tcBorders>
            <w:shd w:val="clear" w:color="auto" w:fill="auto"/>
          </w:tcPr>
          <w:p>
            <w:pPr>
              <w:pStyle w:val="6"/>
              <w:spacing w:after="0" w:line="240" w:lineRule="auto"/>
              <w:ind w:left="0"/>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18</w:t>
            </w:r>
          </w:p>
        </w:tc>
        <w:tc>
          <w:tcPr>
            <w:tcW w:w="621" w:type="dxa"/>
            <w:tcBorders>
              <w:right w:val="nil"/>
              <w:insideV w:val="nil"/>
            </w:tcBorders>
            <w:shd w:val="clear" w:color="auto" w:fill="auto"/>
          </w:tcPr>
          <w:p>
            <w:pPr>
              <w:pStyle w:val="6"/>
              <w:tabs>
                <w:tab w:val="left" w:pos="359"/>
              </w:tabs>
              <w:spacing w:after="0" w:line="240" w:lineRule="auto"/>
              <w:ind w:left="0"/>
              <w:rPr>
                <w:rFonts w:ascii="Times New Roman" w:hAnsi="Times New Roman" w:cs="Times New Roman"/>
                <w:color w:val="000000" w:themeColor="text1" w:themeShade="BF"/>
                <w:sz w:val="18"/>
                <w:szCs w:val="18"/>
              </w:rPr>
            </w:pPr>
          </w:p>
        </w:tc>
      </w:tr>
    </w:tbl>
    <w:p>
      <w:pPr>
        <w:rPr>
          <w:rFonts w:ascii="Times New Roman" w:hAnsi="Times New Roman" w:cs="Times New Roman"/>
          <w:sz w:val="18"/>
          <w:szCs w:val="18"/>
        </w:rPr>
      </w:pPr>
      <w:r>
        <w:rPr>
          <w:rFonts w:ascii="Times New Roman" w:hAnsi="Times New Roman" w:cs="Times New Roman"/>
          <w:sz w:val="18"/>
          <w:szCs w:val="18"/>
        </w:rPr>
        <w:t xml:space="preserve">Sumber : data mentah yang diolah; *signifikan pada p&lt;0,05 </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uji korelasi adalah umur dengan nilai p=0,065 (p&gt;0,05), jenis kelamin dengan nilai P=0,002 (p&lt;0,05), komorbid dengan nilai p=0,000 (p=&lt;0,05), dan jumlah obat dengan nilai p=0,000 (p&lt;=0,05), hal ini menujukan bahwa variabel umur tidak berpengaruh signifikan terhadap kepatuhan sedangkan jenis kelamin, komorbid, dan jumlah obat secara signifikan berpengaruh terhadap kepatuhan pasien. </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tabel 3 terlihat bahwa faktor jenis kelamin menunjukkan hubungan yang bermakna dengan ketidakpatuhan pasien. Hal ini dapat dilihat dari nilai P yaitu sebesar 0,002 (p&lt;0,05). Hasil penelitian menunjukan bahwa pasien berjenis kelamin laki-laki lebih patuh yaitu sebanyak 91 pasien di bandingkan dengan pasien perempuan yakni 73 pasien. Hal ini dapat dipengaruhi oleh ketersediaan waktu dari pasien laki-laki untuk sering kontrol atau kembali ke rumah sakit lebih banyak dibandingkan dengan pasien perempuan.</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3 menunjukan bahwa faktor komorbid memiliki hubungan yang bermakna dengan ketidakpatuhan pasien. Hal ini dapat dilihat dari nilai p yaitu sebesar 0,000 (p&lt;0,05). Tabel 3 menunjukkan bahwa pasien patuh tanpa komorbid adalah yang terbanyak yaitu 99 pasien hal ini disebabkan oleh ketidakpatuhan pasien dalam menjalani pengobatan hipertensi, yang mana diketahui bahwa tekanan darah yang tidak terkontrol merupakan pemicu bermunculnya komorbid. </w:t>
      </w:r>
    </w:p>
    <w:p>
      <w:pPr>
        <w:spacing w:after="0" w:line="48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Pada tabel 3 terlihat bahwa terdapat hubungan yang bermakna antara jumlah obat dengan ketidakpatuhan pasien, hal ini terlihat dari nilai p yaitu sebesar 0,000 (p&lt;0,05), terlihat pasien patuh lebih banyak yaitu 77 pasien memperoleh regimen antihipertensi tunggaal (1 jenis obat). hasil penelitian ini sesuai dengan penelitian yang dilakukan oleh Saefudin dkk., (2013) yaitu bahwa  jumlah antihipertensi  ini berkaitan dengan lebih tinggi kecenderungan pasien patuh yang mendaptkan regimen antihipertensi tunggal</w:t>
      </w:r>
    </w:p>
    <w:p>
      <w:pPr>
        <w:spacing w:after="0"/>
        <w:ind w:left="720" w:hanging="720"/>
        <w:jc w:val="both"/>
        <w:rPr>
          <w:rFonts w:ascii="Times New Roman" w:hAnsi="Times New Roman" w:cs="Times New Roman"/>
          <w:sz w:val="24"/>
          <w:szCs w:val="24"/>
        </w:rPr>
      </w:pPr>
      <w:r>
        <w:rPr>
          <w:rFonts w:ascii="Times New Roman" w:hAnsi="Times New Roman" w:cs="Times New Roman"/>
          <w:b/>
          <w:sz w:val="20"/>
          <w:szCs w:val="24"/>
        </w:rPr>
        <w:t>Tabel 4.</w:t>
      </w:r>
      <w:r>
        <w:rPr>
          <w:rFonts w:ascii="Times New Roman" w:hAnsi="Times New Roman" w:cs="Times New Roman"/>
          <w:b/>
          <w:sz w:val="20"/>
          <w:szCs w:val="24"/>
        </w:rPr>
        <w:tab/>
      </w:r>
      <w:r>
        <w:rPr>
          <w:rFonts w:ascii="Times New Roman" w:hAnsi="Times New Roman" w:cs="Times New Roman"/>
          <w:b/>
          <w:sz w:val="20"/>
          <w:szCs w:val="24"/>
        </w:rPr>
        <w:t>Gambaran rata-rata biaya pasien patuh dan tidak patuh selama periode pengobatan di RSUD Karanganyar</w:t>
      </w:r>
    </w:p>
    <w:tbl>
      <w:tblPr>
        <w:tblStyle w:val="8"/>
        <w:tblW w:w="4786"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1843"/>
        <w:gridCol w:w="1701"/>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 w:hRule="atLeast"/>
        </w:trPr>
        <w:tc>
          <w:tcPr>
            <w:tcW w:w="1242" w:type="dxa"/>
            <w:tcBorders>
              <w:top w:val="single" w:color="000000" w:themeColor="text1" w:sz="8" w:space="0"/>
              <w:left w:val="nil"/>
              <w:bottom w:val="single" w:color="000000" w:themeColor="text1" w:sz="8" w:space="0"/>
              <w:right w:val="nil"/>
              <w:insideH w:val="single" w:sz="8" w:space="0"/>
              <w:insideV w:val="nil"/>
            </w:tcBorders>
            <w:shd w:val="clear" w:color="auto" w:fill="auto"/>
          </w:tcPr>
          <w:p>
            <w:pPr>
              <w:pStyle w:val="6"/>
              <w:spacing w:before="0" w:after="0" w:line="240" w:lineRule="auto"/>
              <w:ind w:left="0"/>
              <w:jc w:val="center"/>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Komponen biaya</w:t>
            </w:r>
          </w:p>
        </w:tc>
        <w:tc>
          <w:tcPr>
            <w:tcW w:w="1843" w:type="dxa"/>
            <w:tcBorders>
              <w:top w:val="single" w:color="000000" w:themeColor="text1" w:sz="8" w:space="0"/>
              <w:bottom w:val="single" w:color="000000" w:themeColor="text1" w:sz="8" w:space="0"/>
              <w:right w:val="nil"/>
              <w:insideH w:val="single" w:sz="8" w:space="0"/>
              <w:insideV w:val="nil"/>
            </w:tcBorders>
            <w:shd w:val="clear" w:color="auto" w:fill="auto"/>
          </w:tcPr>
          <w:p>
            <w:pPr>
              <w:pStyle w:val="6"/>
              <w:spacing w:before="0" w:after="0" w:line="240" w:lineRule="auto"/>
              <w:ind w:left="0"/>
              <w:jc w:val="center"/>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Rata-rata biaya (Rp) pasien patuh</w:t>
            </w:r>
          </w:p>
        </w:tc>
        <w:tc>
          <w:tcPr>
            <w:tcW w:w="1701" w:type="dxa"/>
            <w:tcBorders>
              <w:top w:val="single" w:color="000000" w:themeColor="text1" w:sz="8" w:space="0"/>
              <w:bottom w:val="single" w:color="000000" w:themeColor="text1" w:sz="8" w:space="0"/>
              <w:right w:val="nil"/>
              <w:insideH w:val="single" w:sz="8" w:space="0"/>
              <w:insideV w:val="nil"/>
            </w:tcBorders>
            <w:shd w:val="clear" w:color="auto" w:fill="auto"/>
          </w:tcPr>
          <w:p>
            <w:pPr>
              <w:pStyle w:val="6"/>
              <w:spacing w:before="0" w:after="0" w:line="240" w:lineRule="auto"/>
              <w:ind w:left="0"/>
              <w:jc w:val="center"/>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Rata-rata biaya (Rp) pasien tidak patuh</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trPr>
        <w:tc>
          <w:tcPr>
            <w:tcW w:w="1242" w:type="dxa"/>
            <w:tcBorders>
              <w:top w:val="single" w:color="000000" w:themeColor="text1" w:sz="8" w:space="0"/>
              <w:left w:val="nil"/>
              <w:bottom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Biaya antihipertensi</w:t>
            </w:r>
          </w:p>
        </w:tc>
        <w:tc>
          <w:tcPr>
            <w:tcW w:w="1843" w:type="dxa"/>
            <w:tcBorders>
              <w:top w:val="single" w:color="000000" w:themeColor="text1" w:sz="8" w:space="0"/>
              <w:bottom w:val="nil"/>
              <w:right w:val="nil"/>
              <w:insideV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79.550 ± 234,90</w:t>
            </w:r>
          </w:p>
          <w:p>
            <w:pPr>
              <w:spacing w:after="0" w:line="240" w:lineRule="auto"/>
              <w:jc w:val="center"/>
              <w:rPr>
                <w:rFonts w:ascii="Times New Roman" w:hAnsi="Times New Roman" w:cs="Times New Roman"/>
                <w:color w:val="000000" w:themeColor="text1" w:themeShade="BF"/>
                <w:sz w:val="18"/>
                <w:szCs w:val="18"/>
              </w:rPr>
            </w:pPr>
          </w:p>
        </w:tc>
        <w:tc>
          <w:tcPr>
            <w:tcW w:w="1701" w:type="dxa"/>
            <w:tcBorders>
              <w:top w:val="single" w:color="000000" w:themeColor="text1" w:sz="8" w:space="0"/>
              <w:bottom w:val="nil"/>
              <w:right w:val="nil"/>
              <w:insideV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 xml:space="preserve">80.400 </w:t>
            </w:r>
            <w:r>
              <w:rPr>
                <w:rFonts w:ascii="Times New Roman" w:hAnsi="Times New Roman" w:cs="Times New Roman"/>
                <w:b/>
                <w:color w:val="000000" w:themeColor="text1" w:themeShade="BF"/>
                <w:sz w:val="18"/>
                <w:szCs w:val="18"/>
              </w:rPr>
              <w:t>±</w:t>
            </w:r>
            <w:r>
              <w:rPr>
                <w:rFonts w:ascii="Times New Roman" w:hAnsi="Times New Roman" w:cs="Times New Roman"/>
                <w:color w:val="000000" w:themeColor="text1" w:themeShade="BF"/>
                <w:sz w:val="18"/>
                <w:szCs w:val="18"/>
              </w:rPr>
              <w:t xml:space="preserve"> </w:t>
            </w:r>
            <w:r>
              <w:rPr>
                <w:rFonts w:ascii="Calibri" w:hAnsi="Calibri" w:cs="Calibri"/>
                <w:color w:val="000000"/>
                <w:sz w:val="18"/>
                <w:szCs w:val="18"/>
              </w:rPr>
              <w:t>745,16</w:t>
            </w:r>
          </w:p>
          <w:p>
            <w:pPr>
              <w:spacing w:after="0" w:line="240" w:lineRule="auto"/>
              <w:jc w:val="center"/>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trPr>
        <w:tc>
          <w:tcPr>
            <w:tcW w:w="1242" w:type="dxa"/>
            <w:tcBorders>
              <w:top w:val="nil"/>
              <w:bottom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Biaya non antihipertensi</w:t>
            </w:r>
          </w:p>
        </w:tc>
        <w:tc>
          <w:tcPr>
            <w:tcW w:w="1843" w:type="dxa"/>
            <w:tcBorders>
              <w:top w:val="nil"/>
              <w:bottom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68.750 ± 400,05</w:t>
            </w:r>
          </w:p>
        </w:tc>
        <w:tc>
          <w:tcPr>
            <w:tcW w:w="1701" w:type="dxa"/>
            <w:tcBorders>
              <w:top w:val="nil"/>
              <w:bottom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 xml:space="preserve">69.400 </w:t>
            </w:r>
            <w:r>
              <w:rPr>
                <w:rFonts w:ascii="Times New Roman" w:hAnsi="Times New Roman" w:cs="Times New Roman"/>
                <w:b/>
                <w:color w:val="000000" w:themeColor="text1" w:themeShade="BF"/>
                <w:sz w:val="18"/>
                <w:szCs w:val="18"/>
              </w:rPr>
              <w:t>±</w:t>
            </w:r>
            <w:r>
              <w:rPr>
                <w:rFonts w:ascii="Times New Roman" w:hAnsi="Times New Roman" w:cs="Times New Roman"/>
                <w:color w:val="000000" w:themeColor="text1" w:themeShade="BF"/>
                <w:sz w:val="18"/>
                <w:szCs w:val="18"/>
              </w:rPr>
              <w:t xml:space="preserve">  </w:t>
            </w:r>
            <w:r>
              <w:rPr>
                <w:rFonts w:ascii="Calibri" w:hAnsi="Calibri" w:cs="Calibri"/>
                <w:color w:val="000000"/>
                <w:sz w:val="18"/>
                <w:szCs w:val="18"/>
              </w:rPr>
              <w:t>61329,04</w:t>
            </w:r>
          </w:p>
          <w:p>
            <w:pPr>
              <w:spacing w:after="0" w:line="240" w:lineRule="auto"/>
              <w:jc w:val="center"/>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trPr>
        <w:tc>
          <w:tcPr>
            <w:tcW w:w="1242" w:type="dxa"/>
            <w:tcBorders>
              <w:top w:val="nil"/>
              <w:left w:val="nil"/>
              <w:bottom w:val="nil"/>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Biaya admin</w:t>
            </w:r>
          </w:p>
        </w:tc>
        <w:tc>
          <w:tcPr>
            <w:tcW w:w="1843" w:type="dxa"/>
            <w:tcBorders>
              <w:top w:val="nil"/>
              <w:bottom w:val="nil"/>
              <w:right w:val="nil"/>
              <w:insideV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25.000 ± 345,00</w:t>
            </w:r>
          </w:p>
        </w:tc>
        <w:tc>
          <w:tcPr>
            <w:tcW w:w="1701" w:type="dxa"/>
            <w:tcBorders>
              <w:top w:val="nil"/>
              <w:bottom w:val="nil"/>
              <w:right w:val="nil"/>
              <w:insideV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 xml:space="preserve">25.800 </w:t>
            </w:r>
            <w:r>
              <w:rPr>
                <w:rFonts w:ascii="Times New Roman" w:hAnsi="Times New Roman" w:cs="Times New Roman"/>
                <w:b/>
                <w:color w:val="000000" w:themeColor="text1" w:themeShade="BF"/>
                <w:sz w:val="18"/>
                <w:szCs w:val="18"/>
              </w:rPr>
              <w:t>±</w:t>
            </w:r>
            <w:r>
              <w:rPr>
                <w:rFonts w:ascii="Times New Roman" w:hAnsi="Times New Roman" w:cs="Times New Roman"/>
                <w:color w:val="000000" w:themeColor="text1" w:themeShade="BF"/>
                <w:sz w:val="18"/>
                <w:szCs w:val="18"/>
              </w:rPr>
              <w:t xml:space="preserve">  </w:t>
            </w:r>
            <w:r>
              <w:rPr>
                <w:rFonts w:ascii="Calibri" w:hAnsi="Calibri" w:cs="Calibri"/>
                <w:color w:val="000000"/>
                <w:sz w:val="18"/>
                <w:szCs w:val="18"/>
              </w:rPr>
              <w:t>600,5622</w:t>
            </w:r>
          </w:p>
          <w:p>
            <w:pPr>
              <w:spacing w:after="0" w:line="240" w:lineRule="auto"/>
              <w:jc w:val="center"/>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 w:hRule="atLeast"/>
        </w:trPr>
        <w:tc>
          <w:tcPr>
            <w:tcW w:w="1242" w:type="dxa"/>
            <w:tcBorders>
              <w:top w:val="nil"/>
              <w:bottom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Biaya pemeriksaan lab</w:t>
            </w:r>
          </w:p>
        </w:tc>
        <w:tc>
          <w:tcPr>
            <w:tcW w:w="1843" w:type="dxa"/>
            <w:tcBorders>
              <w:top w:val="nil"/>
              <w:bottom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16.500 ± 1248,90</w:t>
            </w:r>
          </w:p>
        </w:tc>
        <w:tc>
          <w:tcPr>
            <w:tcW w:w="1701" w:type="dxa"/>
            <w:tcBorders>
              <w:top w:val="nil"/>
              <w:bottom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18.700</w:t>
            </w:r>
            <w:r>
              <w:rPr>
                <w:rFonts w:ascii="Times New Roman" w:hAnsi="Times New Roman" w:cs="Times New Roman"/>
                <w:b/>
                <w:color w:val="000000" w:themeColor="text1" w:themeShade="BF"/>
                <w:sz w:val="18"/>
                <w:szCs w:val="18"/>
              </w:rPr>
              <w:t>±</w:t>
            </w:r>
            <w:r>
              <w:rPr>
                <w:rFonts w:ascii="Times New Roman" w:hAnsi="Times New Roman" w:cs="Times New Roman"/>
                <w:color w:val="000000" w:themeColor="text1" w:themeShade="BF"/>
                <w:sz w:val="18"/>
                <w:szCs w:val="18"/>
              </w:rPr>
              <w:t xml:space="preserve"> </w:t>
            </w:r>
            <w:r>
              <w:rPr>
                <w:rFonts w:ascii="Times New Roman" w:hAnsi="Times New Roman" w:cs="Times New Roman"/>
                <w:b/>
                <w:color w:val="000000" w:themeColor="text1" w:themeShade="BF"/>
                <w:sz w:val="18"/>
                <w:szCs w:val="18"/>
              </w:rPr>
              <w:t xml:space="preserve"> </w:t>
            </w:r>
            <w:r>
              <w:rPr>
                <w:rFonts w:ascii="Calibri" w:hAnsi="Calibri" w:cs="Calibri"/>
                <w:color w:val="000000"/>
                <w:sz w:val="18"/>
                <w:szCs w:val="18"/>
              </w:rPr>
              <w:t>10,01665</w:t>
            </w:r>
          </w:p>
          <w:p>
            <w:pPr>
              <w:spacing w:after="0" w:line="240" w:lineRule="auto"/>
              <w:jc w:val="center"/>
              <w:rPr>
                <w:rFonts w:ascii="Times New Roman" w:hAnsi="Times New Roman" w:cs="Times New Roman"/>
                <w:color w:val="000000" w:themeColor="text1" w:themeShade="BF"/>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 w:hRule="atLeast"/>
        </w:trPr>
        <w:tc>
          <w:tcPr>
            <w:tcW w:w="1242" w:type="dxa"/>
            <w:tcBorders>
              <w:top w:val="nil"/>
              <w:left w:val="nil"/>
              <w:bottom w:val="single" w:color="auto" w:sz="4" w:space="0"/>
              <w:right w:val="nil"/>
              <w:insideV w:val="nil"/>
            </w:tcBorders>
            <w:shd w:val="clear" w:color="auto" w:fill="auto"/>
          </w:tcPr>
          <w:p>
            <w:pPr>
              <w:spacing w:after="0" w:line="240" w:lineRule="auto"/>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Biaya lain-lain</w:t>
            </w:r>
          </w:p>
        </w:tc>
        <w:tc>
          <w:tcPr>
            <w:tcW w:w="1843" w:type="dxa"/>
            <w:tcBorders>
              <w:top w:val="nil"/>
              <w:bottom w:val="single" w:color="auto" w:sz="4" w:space="0"/>
              <w:right w:val="nil"/>
              <w:insideV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 xml:space="preserve">66,896 </w:t>
            </w:r>
            <w:r>
              <w:rPr>
                <w:rFonts w:ascii="Times New Roman" w:hAnsi="Times New Roman" w:cs="Times New Roman"/>
                <w:b/>
                <w:color w:val="000000" w:themeColor="text1" w:themeShade="BF"/>
                <w:sz w:val="18"/>
                <w:szCs w:val="18"/>
              </w:rPr>
              <w:t xml:space="preserve">± </w:t>
            </w:r>
            <w:r>
              <w:rPr>
                <w:rFonts w:ascii="Times New Roman" w:hAnsi="Times New Roman" w:cs="Times New Roman"/>
                <w:color w:val="000000" w:themeColor="text1" w:themeShade="BF"/>
                <w:sz w:val="18"/>
                <w:szCs w:val="18"/>
              </w:rPr>
              <w:t>304</w:t>
            </w:r>
          </w:p>
        </w:tc>
        <w:tc>
          <w:tcPr>
            <w:tcW w:w="1701" w:type="dxa"/>
            <w:tcBorders>
              <w:top w:val="nil"/>
              <w:bottom w:val="single" w:color="auto" w:sz="4" w:space="0"/>
              <w:right w:val="nil"/>
              <w:insideV w:val="nil"/>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 xml:space="preserve">65,526 </w:t>
            </w:r>
            <w:r>
              <w:rPr>
                <w:rFonts w:ascii="Times New Roman" w:hAnsi="Times New Roman" w:cs="Times New Roman"/>
                <w:b/>
                <w:color w:val="000000" w:themeColor="text1" w:themeShade="BF"/>
                <w:sz w:val="18"/>
                <w:szCs w:val="18"/>
              </w:rPr>
              <w:t>±</w:t>
            </w:r>
            <w:r>
              <w:rPr>
                <w:rFonts w:ascii="Times New Roman" w:hAnsi="Times New Roman" w:cs="Times New Roman"/>
                <w:color w:val="000000" w:themeColor="text1" w:themeShade="BF"/>
                <w:sz w:val="18"/>
                <w:szCs w:val="18"/>
              </w:rPr>
              <w:t xml:space="preserve"> 900,700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 w:hRule="atLeast"/>
        </w:trPr>
        <w:tc>
          <w:tcPr>
            <w:tcW w:w="1242" w:type="dxa"/>
            <w:tcBorders>
              <w:top w:val="single" w:color="auto" w:sz="4" w:space="0"/>
              <w:bottom w:val="single" w:color="auto" w:sz="4" w:space="0"/>
            </w:tcBorders>
            <w:shd w:val="clear" w:color="auto" w:fill="auto"/>
          </w:tcPr>
          <w:p>
            <w:pPr>
              <w:pStyle w:val="6"/>
              <w:spacing w:after="0" w:line="240" w:lineRule="auto"/>
              <w:ind w:left="0"/>
              <w:jc w:val="center"/>
              <w:rPr>
                <w:rFonts w:ascii="Times New Roman" w:hAnsi="Times New Roman" w:cs="Times New Roman"/>
                <w:b w:val="0"/>
                <w:bCs/>
                <w:color w:val="000000" w:themeColor="text1" w:themeShade="BF"/>
                <w:sz w:val="18"/>
                <w:szCs w:val="18"/>
              </w:rPr>
            </w:pPr>
            <w:r>
              <w:rPr>
                <w:rFonts w:ascii="Times New Roman" w:hAnsi="Times New Roman" w:cs="Times New Roman"/>
                <w:b w:val="0"/>
                <w:bCs/>
                <w:color w:val="000000" w:themeColor="text1" w:themeShade="BF"/>
                <w:sz w:val="18"/>
                <w:szCs w:val="18"/>
              </w:rPr>
              <w:t>Total</w:t>
            </w:r>
          </w:p>
        </w:tc>
        <w:tc>
          <w:tcPr>
            <w:tcW w:w="1843" w:type="dxa"/>
            <w:tcBorders>
              <w:top w:val="single" w:color="auto" w:sz="4" w:space="0"/>
              <w:bottom w:val="single" w:color="auto" w:sz="4" w:space="0"/>
            </w:tcBorders>
            <w:shd w:val="clear" w:color="auto" w:fill="auto"/>
          </w:tcPr>
          <w:p>
            <w:pPr>
              <w:spacing w:after="0" w:line="240" w:lineRule="auto"/>
              <w:jc w:val="center"/>
              <w:rPr>
                <w:rFonts w:ascii="Times New Roman" w:hAnsi="Times New Roman" w:cs="Times New Roman"/>
                <w:color w:val="000000" w:themeColor="text1" w:themeShade="BF"/>
                <w:sz w:val="18"/>
                <w:szCs w:val="18"/>
              </w:rPr>
            </w:pPr>
            <w:r>
              <w:rPr>
                <w:rFonts w:ascii="Times New Roman" w:hAnsi="Times New Roman" w:eastAsia="Times New Roman" w:cs="Times New Roman"/>
                <w:color w:val="000000"/>
                <w:sz w:val="18"/>
                <w:szCs w:val="18"/>
                <w:lang w:eastAsia="id-ID"/>
              </w:rPr>
              <w:t xml:space="preserve">256.696 </w:t>
            </w:r>
            <w:r>
              <w:rPr>
                <w:rFonts w:ascii="Times New Roman" w:hAnsi="Times New Roman" w:cs="Times New Roman"/>
                <w:b/>
                <w:color w:val="000000" w:themeColor="text1" w:themeShade="BF"/>
                <w:sz w:val="18"/>
                <w:szCs w:val="18"/>
              </w:rPr>
              <w:t xml:space="preserve">± </w:t>
            </w:r>
            <w:r>
              <w:rPr>
                <w:rFonts w:ascii="Times New Roman" w:hAnsi="Times New Roman" w:cs="Times New Roman"/>
                <w:color w:val="000000" w:themeColor="text1" w:themeShade="BF"/>
                <w:sz w:val="18"/>
                <w:szCs w:val="18"/>
              </w:rPr>
              <w:t>500</w:t>
            </w:r>
          </w:p>
        </w:tc>
        <w:tc>
          <w:tcPr>
            <w:tcW w:w="1701" w:type="dxa"/>
            <w:tcBorders>
              <w:top w:val="single" w:color="auto" w:sz="4" w:space="0"/>
              <w:bottom w:val="single" w:color="auto" w:sz="4" w:space="0"/>
            </w:tcBorders>
            <w:shd w:val="clear" w:color="auto" w:fill="auto"/>
          </w:tcPr>
          <w:p>
            <w:pPr>
              <w:spacing w:after="0" w:line="240" w:lineRule="auto"/>
              <w:jc w:val="center"/>
              <w:rPr>
                <w:color w:val="000000" w:themeColor="text1" w:themeShade="BF"/>
                <w:sz w:val="18"/>
                <w:szCs w:val="18"/>
              </w:rPr>
            </w:pPr>
            <w:r>
              <w:rPr>
                <w:rFonts w:ascii="Times New Roman" w:hAnsi="Times New Roman" w:eastAsia="Times New Roman" w:cs="Times New Roman"/>
                <w:color w:val="000000"/>
                <w:sz w:val="18"/>
                <w:szCs w:val="18"/>
                <w:lang w:eastAsia="id-ID"/>
              </w:rPr>
              <w:t xml:space="preserve">259.826 </w:t>
            </w:r>
            <w:r>
              <w:rPr>
                <w:rFonts w:ascii="Times New Roman" w:hAnsi="Times New Roman" w:cs="Times New Roman"/>
                <w:b/>
                <w:color w:val="000000" w:themeColor="text1" w:themeShade="BF"/>
                <w:sz w:val="18"/>
                <w:szCs w:val="18"/>
              </w:rPr>
              <w:t xml:space="preserve">± </w:t>
            </w:r>
            <w:r>
              <w:rPr>
                <w:rFonts w:ascii="Times New Roman" w:hAnsi="Times New Roman" w:cs="Times New Roman"/>
                <w:color w:val="000000" w:themeColor="text1" w:themeShade="BF"/>
                <w:sz w:val="18"/>
                <w:szCs w:val="18"/>
              </w:rPr>
              <w:t>439,67</w:t>
            </w:r>
          </w:p>
          <w:p>
            <w:pPr>
              <w:spacing w:after="0" w:line="240" w:lineRule="auto"/>
              <w:jc w:val="center"/>
              <w:rPr>
                <w:color w:val="000000" w:themeColor="text1" w:themeShade="BF"/>
                <w:sz w:val="18"/>
                <w:szCs w:val="18"/>
              </w:rPr>
            </w:pPr>
          </w:p>
        </w:tc>
      </w:tr>
    </w:tbl>
    <w:p>
      <w:pPr>
        <w:spacing w:after="0" w:line="480" w:lineRule="auto"/>
        <w:jc w:val="both"/>
        <w:outlineLvl w:val="0"/>
        <w:rPr>
          <w:rFonts w:ascii="Times New Roman" w:hAnsi="Times New Roman" w:cs="Times New Roman"/>
          <w:sz w:val="24"/>
          <w:szCs w:val="24"/>
        </w:rPr>
      </w:pPr>
    </w:p>
    <w:p>
      <w:pPr>
        <w:spacing w:after="0" w:line="475" w:lineRule="auto"/>
        <w:ind w:firstLine="709"/>
        <w:jc w:val="both"/>
        <w:rPr>
          <w:rFonts w:ascii="Times New Roman" w:hAnsi="Times New Roman" w:cs="Times New Roman"/>
          <w:sz w:val="24"/>
          <w:szCs w:val="24"/>
        </w:rPr>
      </w:pPr>
      <w:r>
        <w:rPr>
          <w:rFonts w:ascii="Times New Roman" w:hAnsi="Times New Roman" w:cs="Times New Roman"/>
          <w:sz w:val="24"/>
          <w:szCs w:val="24"/>
        </w:rPr>
        <w:t>Gambaran rata-rata biaya pasien hipertensi per bulan di RSUD Karanganyar adalah lebih besar biaya pasien tidak patuh dibandingkan dengan biaya pasien patuh. Biaya tersebut dipengaruhi oleh faktor-faktor yang mempengaruhi kepatuhan pasien dalam menjalankan pengobatan hipertensi dalam hal ini adalah tingkat kunjungan atau kontrol pasien setiap bulannya ke rumah sakit. Faktor-faktor tersebut antara lain umur, jenis kelamin, komorbid dan jumlah obat sehingga berdampak pada tingginya biaya pengobatan yang dipengaruhi oleh semakin bertambah parah penyakit yang dialami menyebabkan perawatan untuk pasien tersebut semakin lama. hasil yang diperoleh ini sejalan dengan pendapat yang dikemukakan oleh Widodo, (2004) yaitu akibat dari ketidakpatuhan  pasien dalam menjalankan pengobatan dapat menyebabkan peningkatan biaya perawatan hal ini dapat disebabkan karena penyakit tidak membaik atau justru semakin parah, mungkin juga karena penyakit tidak membaik atau justru semakin bertambah parah, mungkin juga karena keracunan (toksik) dan efek samping obat lainnya, hal ini dapat  memperlama perawatan dan menaikan biaya.</w:t>
      </w:r>
    </w:p>
    <w:p>
      <w:pPr>
        <w:pStyle w:val="6"/>
        <w:numPr>
          <w:ilvl w:val="3"/>
          <w:numId w:val="1"/>
        </w:numPr>
        <w:spacing w:after="0" w:line="240" w:lineRule="auto"/>
        <w:ind w:left="567" w:hanging="142"/>
        <w:jc w:val="center"/>
        <w:rPr>
          <w:rFonts w:ascii="Times New Roman" w:hAnsi="Times New Roman" w:cs="Times New Roman"/>
          <w:b/>
          <w:sz w:val="24"/>
          <w:szCs w:val="24"/>
        </w:rPr>
      </w:pPr>
      <w:r>
        <w:rPr>
          <w:rFonts w:ascii="Times New Roman" w:hAnsi="Times New Roman" w:cs="Times New Roman"/>
          <w:b/>
          <w:sz w:val="24"/>
          <w:szCs w:val="24"/>
        </w:rPr>
        <w:t>Hubungan antara karakteristik dan</w:t>
      </w:r>
    </w:p>
    <w:p>
      <w:pPr>
        <w:pStyle w:val="6"/>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kepatuhan pasien terhadap biaya</w:t>
      </w:r>
    </w:p>
    <w:p>
      <w:pPr>
        <w:pStyle w:val="6"/>
        <w:spacing w:after="0" w:line="240" w:lineRule="auto"/>
        <w:ind w:left="360"/>
        <w:jc w:val="center"/>
        <w:rPr>
          <w:rFonts w:ascii="Times New Roman" w:hAnsi="Times New Roman" w:cs="Times New Roman"/>
          <w:b/>
          <w:sz w:val="24"/>
          <w:szCs w:val="24"/>
        </w:rPr>
      </w:pPr>
    </w:p>
    <w:p>
      <w:pPr>
        <w:pStyle w:val="6"/>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Tabel 4. Hubungan antara karakteristik dan kepatuhan pasien terhadap biaya</w:t>
      </w:r>
    </w:p>
    <w:tbl>
      <w:tblPr>
        <w:tblStyle w:val="5"/>
        <w:tblW w:w="469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340"/>
        <w:gridCol w:w="1212"/>
        <w:gridCol w:w="6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single" w:color="auto" w:sz="4" w:space="0"/>
              <w:left w:val="nil"/>
              <w:bottom w:val="single" w:color="auto" w:sz="4" w:space="0"/>
              <w:right w:val="nil"/>
            </w:tcBorders>
          </w:tcPr>
          <w:p>
            <w:pPr>
              <w:pStyle w:val="6"/>
              <w:tabs>
                <w:tab w:val="left" w:pos="1680"/>
              </w:tabs>
              <w:spacing w:after="0" w:line="240" w:lineRule="auto"/>
              <w:ind w:left="0" w:right="34"/>
              <w:jc w:val="center"/>
              <w:rPr>
                <w:rFonts w:ascii="Times New Roman" w:hAnsi="Times New Roman" w:cs="Times New Roman"/>
                <w:sz w:val="18"/>
                <w:szCs w:val="18"/>
              </w:rPr>
            </w:pPr>
            <w:r>
              <w:rPr>
                <w:rFonts w:ascii="Times New Roman" w:hAnsi="Times New Roman" w:cs="Times New Roman"/>
                <w:sz w:val="18"/>
                <w:szCs w:val="18"/>
              </w:rPr>
              <w:t>Karakteristik</w:t>
            </w:r>
          </w:p>
        </w:tc>
        <w:tc>
          <w:tcPr>
            <w:tcW w:w="1340" w:type="dxa"/>
            <w:tcBorders>
              <w:top w:val="single" w:color="auto" w:sz="4" w:space="0"/>
              <w:left w:val="nil"/>
              <w:bottom w:val="single" w:color="auto" w:sz="4" w:space="0"/>
              <w:right w:val="nil"/>
            </w:tcBorders>
          </w:tcPr>
          <w:p>
            <w:pPr>
              <w:pStyle w:val="6"/>
              <w:spacing w:after="0" w:line="240" w:lineRule="auto"/>
              <w:ind w:left="0"/>
              <w:jc w:val="center"/>
              <w:rPr>
                <w:rFonts w:ascii="Times New Roman" w:hAnsi="Times New Roman" w:cs="Times New Roman"/>
                <w:sz w:val="18"/>
                <w:szCs w:val="18"/>
              </w:rPr>
            </w:pPr>
            <w:r>
              <w:rPr>
                <w:rFonts w:ascii="Times New Roman" w:hAnsi="Times New Roman" w:cs="Times New Roman"/>
                <w:sz w:val="18"/>
                <w:szCs w:val="18"/>
              </w:rPr>
              <w:t>Jumlah Pasien</w:t>
            </w:r>
          </w:p>
        </w:tc>
        <w:tc>
          <w:tcPr>
            <w:tcW w:w="1212" w:type="dxa"/>
            <w:tcBorders>
              <w:top w:val="single" w:color="auto" w:sz="4" w:space="0"/>
              <w:left w:val="nil"/>
              <w:bottom w:val="single" w:color="auto" w:sz="4" w:space="0"/>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Rata-rata biaya per bulan (Rp)</w:t>
            </w:r>
          </w:p>
        </w:tc>
        <w:tc>
          <w:tcPr>
            <w:tcW w:w="621" w:type="dxa"/>
            <w:tcBorders>
              <w:top w:val="single" w:color="auto" w:sz="4" w:space="0"/>
              <w:left w:val="nil"/>
              <w:bottom w:val="single" w:color="auto" w:sz="4" w:space="0"/>
              <w:right w:val="nil"/>
            </w:tcBorders>
          </w:tcPr>
          <w:p>
            <w:pPr>
              <w:pStyle w:val="6"/>
              <w:spacing w:after="0" w:line="240" w:lineRule="auto"/>
              <w:ind w:left="0"/>
              <w:jc w:val="center"/>
              <w:rPr>
                <w:rFonts w:ascii="Times New Roman" w:hAnsi="Times New Roman" w:cs="Times New Roman"/>
                <w:sz w:val="18"/>
                <w:szCs w:val="18"/>
              </w:rPr>
            </w:pPr>
            <w:r>
              <w:rPr>
                <w:rFonts w:ascii="Times New Roman" w:hAnsi="Times New Roman" w:cs="Times New Roman"/>
                <w:sz w:val="18"/>
                <w:szCs w:val="18"/>
              </w:rPr>
              <w:t>P</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Umur</w:t>
            </w:r>
          </w:p>
        </w:tc>
        <w:tc>
          <w:tcPr>
            <w:tcW w:w="1340"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c>
          <w:tcPr>
            <w:tcW w:w="1212"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c>
          <w:tcPr>
            <w:tcW w:w="621"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18-30</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12</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280.838</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0,350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31-40</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36</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271.105</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41-50</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96</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269.055</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single" w:color="auto" w:sz="4" w:space="0"/>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&gt;50</w:t>
            </w:r>
          </w:p>
        </w:tc>
        <w:tc>
          <w:tcPr>
            <w:tcW w:w="1340" w:type="dxa"/>
            <w:tcBorders>
              <w:top w:val="nil"/>
              <w:left w:val="nil"/>
              <w:bottom w:val="single" w:color="auto" w:sz="4" w:space="0"/>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149</w:t>
            </w:r>
          </w:p>
        </w:tc>
        <w:tc>
          <w:tcPr>
            <w:tcW w:w="1212" w:type="dxa"/>
            <w:tcBorders>
              <w:top w:val="nil"/>
              <w:left w:val="nil"/>
              <w:bottom w:val="single" w:color="auto" w:sz="4" w:space="0"/>
              <w:right w:val="nil"/>
            </w:tcBorders>
          </w:tcPr>
          <w:p>
            <w:pPr>
              <w:spacing w:after="0" w:line="240" w:lineRule="auto"/>
              <w:rPr>
                <w:sz w:val="18"/>
                <w:szCs w:val="18"/>
              </w:rPr>
            </w:pPr>
            <w:r>
              <w:rPr>
                <w:rFonts w:ascii="Calibri" w:hAnsi="Calibri" w:eastAsia="Times New Roman" w:cs="Calibri"/>
                <w:color w:val="000000"/>
                <w:sz w:val="18"/>
                <w:szCs w:val="18"/>
                <w:lang w:eastAsia="id-ID"/>
              </w:rPr>
              <w:t>273.779</w:t>
            </w:r>
          </w:p>
        </w:tc>
        <w:tc>
          <w:tcPr>
            <w:tcW w:w="621" w:type="dxa"/>
            <w:tcBorders>
              <w:top w:val="nil"/>
              <w:left w:val="nil"/>
              <w:bottom w:val="single" w:color="auto" w:sz="4" w:space="0"/>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Jenis kelamin</w:t>
            </w:r>
          </w:p>
        </w:tc>
        <w:tc>
          <w:tcPr>
            <w:tcW w:w="1340" w:type="dxa"/>
            <w:tcBorders>
              <w:top w:val="single" w:color="auto" w:sz="4" w:space="0"/>
              <w:left w:val="nil"/>
              <w:bottom w:val="nil"/>
              <w:right w:val="nil"/>
            </w:tcBorders>
          </w:tcPr>
          <w:p>
            <w:pPr>
              <w:pStyle w:val="6"/>
              <w:spacing w:after="0" w:line="235" w:lineRule="auto"/>
              <w:ind w:left="0"/>
              <w:jc w:val="center"/>
              <w:rPr>
                <w:rFonts w:ascii="Times New Roman" w:hAnsi="Times New Roman" w:cs="Times New Roman"/>
                <w:sz w:val="18"/>
                <w:szCs w:val="18"/>
              </w:rPr>
            </w:pPr>
          </w:p>
        </w:tc>
        <w:tc>
          <w:tcPr>
            <w:tcW w:w="1212"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c>
          <w:tcPr>
            <w:tcW w:w="621"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Laki-laki</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139</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269.651</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0,394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single" w:color="auto" w:sz="4" w:space="0"/>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Perempuan</w:t>
            </w:r>
          </w:p>
        </w:tc>
        <w:tc>
          <w:tcPr>
            <w:tcW w:w="1340" w:type="dxa"/>
            <w:tcBorders>
              <w:top w:val="nil"/>
              <w:left w:val="nil"/>
              <w:bottom w:val="single" w:color="auto" w:sz="4" w:space="0"/>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154</w:t>
            </w:r>
          </w:p>
        </w:tc>
        <w:tc>
          <w:tcPr>
            <w:tcW w:w="1212" w:type="dxa"/>
            <w:tcBorders>
              <w:top w:val="nil"/>
              <w:left w:val="nil"/>
              <w:bottom w:val="single" w:color="auto" w:sz="4" w:space="0"/>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273.595</w:t>
            </w:r>
          </w:p>
        </w:tc>
        <w:tc>
          <w:tcPr>
            <w:tcW w:w="621" w:type="dxa"/>
            <w:tcBorders>
              <w:top w:val="nil"/>
              <w:left w:val="nil"/>
              <w:bottom w:val="single" w:color="auto" w:sz="4" w:space="0"/>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Komorbid</w:t>
            </w:r>
          </w:p>
        </w:tc>
        <w:tc>
          <w:tcPr>
            <w:tcW w:w="1340" w:type="dxa"/>
            <w:tcBorders>
              <w:top w:val="single" w:color="auto" w:sz="4" w:space="0"/>
              <w:left w:val="nil"/>
              <w:bottom w:val="nil"/>
              <w:right w:val="nil"/>
            </w:tcBorders>
          </w:tcPr>
          <w:p>
            <w:pPr>
              <w:pStyle w:val="6"/>
              <w:spacing w:after="0" w:line="235" w:lineRule="auto"/>
              <w:ind w:left="0"/>
              <w:jc w:val="center"/>
              <w:rPr>
                <w:rFonts w:ascii="Times New Roman" w:hAnsi="Times New Roman" w:cs="Times New Roman"/>
                <w:sz w:val="18"/>
                <w:szCs w:val="18"/>
              </w:rPr>
            </w:pPr>
          </w:p>
        </w:tc>
        <w:tc>
          <w:tcPr>
            <w:tcW w:w="1212"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c>
          <w:tcPr>
            <w:tcW w:w="621"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Tanpa komorbid</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122</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243.730</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0,034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Hipertensi +DM</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81</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251.115</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Hipertensi + Kolesterol</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57</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259.134</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Hipertensi + DM + jantung</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22</w:t>
            </w:r>
          </w:p>
        </w:tc>
        <w:tc>
          <w:tcPr>
            <w:tcW w:w="1212" w:type="dxa"/>
            <w:tcBorders>
              <w:top w:val="nil"/>
              <w:left w:val="nil"/>
              <w:bottom w:val="nil"/>
              <w:right w:val="nil"/>
            </w:tcBorders>
          </w:tcPr>
          <w:p>
            <w:pPr>
              <w:spacing w:after="0" w:line="240" w:lineRule="auto"/>
              <w:rPr>
                <w:sz w:val="18"/>
                <w:szCs w:val="18"/>
              </w:rPr>
            </w:pPr>
            <w:r>
              <w:rPr>
                <w:rFonts w:ascii="Calibri" w:hAnsi="Calibri" w:eastAsia="Times New Roman" w:cs="Calibri"/>
                <w:color w:val="000000"/>
                <w:sz w:val="18"/>
                <w:szCs w:val="18"/>
                <w:lang w:eastAsia="id-ID"/>
              </w:rPr>
              <w:t>273.969</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Hipertensi + asam urat +kolesterol</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11</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283.838</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single" w:color="auto" w:sz="4" w:space="0"/>
              <w:right w:val="nil"/>
            </w:tcBorders>
          </w:tcPr>
          <w:p>
            <w:pPr>
              <w:pStyle w:val="6"/>
              <w:spacing w:after="0" w:line="240" w:lineRule="auto"/>
              <w:ind w:left="0"/>
              <w:rPr>
                <w:rFonts w:ascii="Times New Roman" w:hAnsi="Times New Roman" w:cs="Times New Roman"/>
                <w:sz w:val="18"/>
                <w:szCs w:val="18"/>
              </w:rPr>
            </w:pPr>
          </w:p>
        </w:tc>
        <w:tc>
          <w:tcPr>
            <w:tcW w:w="1340" w:type="dxa"/>
            <w:tcBorders>
              <w:top w:val="nil"/>
              <w:left w:val="nil"/>
              <w:bottom w:val="single" w:color="auto" w:sz="4" w:space="0"/>
              <w:right w:val="nil"/>
            </w:tcBorders>
          </w:tcPr>
          <w:p>
            <w:pPr>
              <w:pStyle w:val="6"/>
              <w:spacing w:after="0" w:line="235" w:lineRule="auto"/>
              <w:ind w:left="0"/>
              <w:jc w:val="center"/>
              <w:rPr>
                <w:rFonts w:ascii="Times New Roman" w:hAnsi="Times New Roman" w:cs="Times New Roman"/>
                <w:sz w:val="18"/>
                <w:szCs w:val="18"/>
              </w:rPr>
            </w:pPr>
          </w:p>
        </w:tc>
        <w:tc>
          <w:tcPr>
            <w:tcW w:w="1212" w:type="dxa"/>
            <w:tcBorders>
              <w:top w:val="nil"/>
              <w:left w:val="nil"/>
              <w:bottom w:val="single" w:color="auto" w:sz="4" w:space="0"/>
              <w:right w:val="nil"/>
            </w:tcBorders>
          </w:tcPr>
          <w:p>
            <w:pPr>
              <w:pStyle w:val="6"/>
              <w:spacing w:after="0" w:line="240" w:lineRule="auto"/>
              <w:ind w:left="0"/>
              <w:rPr>
                <w:rFonts w:ascii="Times New Roman" w:hAnsi="Times New Roman" w:cs="Times New Roman"/>
                <w:sz w:val="18"/>
                <w:szCs w:val="18"/>
              </w:rPr>
            </w:pPr>
          </w:p>
        </w:tc>
        <w:tc>
          <w:tcPr>
            <w:tcW w:w="621" w:type="dxa"/>
            <w:tcBorders>
              <w:top w:val="nil"/>
              <w:left w:val="nil"/>
              <w:bottom w:val="single" w:color="auto" w:sz="4" w:space="0"/>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Jumlah  obat</w:t>
            </w:r>
          </w:p>
        </w:tc>
        <w:tc>
          <w:tcPr>
            <w:tcW w:w="1340" w:type="dxa"/>
            <w:tcBorders>
              <w:top w:val="single" w:color="auto" w:sz="4" w:space="0"/>
              <w:left w:val="nil"/>
              <w:bottom w:val="nil"/>
              <w:right w:val="nil"/>
            </w:tcBorders>
          </w:tcPr>
          <w:p>
            <w:pPr>
              <w:pStyle w:val="6"/>
              <w:spacing w:after="0" w:line="235" w:lineRule="auto"/>
              <w:ind w:left="0"/>
              <w:jc w:val="center"/>
              <w:rPr>
                <w:rFonts w:ascii="Times New Roman" w:hAnsi="Times New Roman" w:cs="Times New Roman"/>
                <w:sz w:val="18"/>
                <w:szCs w:val="18"/>
              </w:rPr>
            </w:pPr>
          </w:p>
        </w:tc>
        <w:tc>
          <w:tcPr>
            <w:tcW w:w="1212"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c>
          <w:tcPr>
            <w:tcW w:w="621"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1 jenis</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107</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240.637</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0,254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 w:hRule="atLeast"/>
        </w:trPr>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2 jenis</w:t>
            </w:r>
          </w:p>
        </w:tc>
        <w:tc>
          <w:tcPr>
            <w:tcW w:w="1340" w:type="dxa"/>
            <w:tcBorders>
              <w:top w:val="nil"/>
              <w:left w:val="nil"/>
              <w:bottom w:val="nil"/>
              <w:right w:val="nil"/>
            </w:tcBorders>
          </w:tcPr>
          <w:p>
            <w:pPr>
              <w:pStyle w:val="6"/>
              <w:spacing w:after="0" w:line="235" w:lineRule="auto"/>
              <w:ind w:left="0"/>
              <w:rPr>
                <w:rFonts w:ascii="Times New Roman" w:hAnsi="Times New Roman" w:cs="Times New Roman"/>
                <w:sz w:val="18"/>
                <w:szCs w:val="18"/>
              </w:rPr>
            </w:pPr>
            <w:r>
              <w:rPr>
                <w:rFonts w:ascii="Times New Roman" w:hAnsi="Times New Roman" w:cs="Times New Roman"/>
                <w:sz w:val="18"/>
                <w:szCs w:val="18"/>
              </w:rPr>
              <w:t xml:space="preserve">        157</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254.115</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single" w:color="auto" w:sz="4" w:space="0"/>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3 jenis</w:t>
            </w:r>
          </w:p>
        </w:tc>
        <w:tc>
          <w:tcPr>
            <w:tcW w:w="1340" w:type="dxa"/>
            <w:tcBorders>
              <w:top w:val="nil"/>
              <w:left w:val="nil"/>
              <w:bottom w:val="single" w:color="auto" w:sz="4" w:space="0"/>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29</w:t>
            </w:r>
          </w:p>
        </w:tc>
        <w:tc>
          <w:tcPr>
            <w:tcW w:w="1212" w:type="dxa"/>
            <w:tcBorders>
              <w:top w:val="nil"/>
              <w:left w:val="nil"/>
              <w:bottom w:val="single" w:color="auto" w:sz="4" w:space="0"/>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279.280</w:t>
            </w:r>
          </w:p>
        </w:tc>
        <w:tc>
          <w:tcPr>
            <w:tcW w:w="621" w:type="dxa"/>
            <w:tcBorders>
              <w:top w:val="nil"/>
              <w:left w:val="nil"/>
              <w:bottom w:val="single" w:color="auto" w:sz="4" w:space="0"/>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single" w:color="auto" w:sz="4" w:space="0"/>
              <w:left w:val="nil"/>
              <w:bottom w:val="nil"/>
              <w:right w:val="nil"/>
            </w:tcBorders>
          </w:tcPr>
          <w:p>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Kepatuhan</w:t>
            </w:r>
          </w:p>
        </w:tc>
        <w:tc>
          <w:tcPr>
            <w:tcW w:w="1340" w:type="dxa"/>
            <w:tcBorders>
              <w:top w:val="single" w:color="auto" w:sz="4" w:space="0"/>
              <w:left w:val="nil"/>
              <w:bottom w:val="nil"/>
              <w:right w:val="nil"/>
            </w:tcBorders>
          </w:tcPr>
          <w:p>
            <w:pPr>
              <w:pStyle w:val="6"/>
              <w:spacing w:after="0" w:line="235" w:lineRule="auto"/>
              <w:ind w:left="0"/>
              <w:jc w:val="center"/>
              <w:rPr>
                <w:rFonts w:ascii="Times New Roman" w:hAnsi="Times New Roman" w:cs="Times New Roman"/>
                <w:sz w:val="18"/>
                <w:szCs w:val="18"/>
              </w:rPr>
            </w:pPr>
          </w:p>
        </w:tc>
        <w:tc>
          <w:tcPr>
            <w:tcW w:w="1212"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c>
          <w:tcPr>
            <w:tcW w:w="621" w:type="dxa"/>
            <w:tcBorders>
              <w:top w:val="single" w:color="auto" w:sz="4" w:space="0"/>
              <w:left w:val="nil"/>
              <w:bottom w:val="nil"/>
              <w:right w:val="nil"/>
            </w:tcBorders>
          </w:tcPr>
          <w:p>
            <w:pPr>
              <w:pStyle w:val="6"/>
              <w:spacing w:after="0" w:line="240" w:lineRule="auto"/>
              <w:ind w:left="0"/>
              <w:rPr>
                <w:rFonts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nil"/>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Patuh</w:t>
            </w:r>
          </w:p>
        </w:tc>
        <w:tc>
          <w:tcPr>
            <w:tcW w:w="1340" w:type="dxa"/>
            <w:tcBorders>
              <w:top w:val="nil"/>
              <w:left w:val="nil"/>
              <w:bottom w:val="nil"/>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164</w:t>
            </w:r>
          </w:p>
        </w:tc>
        <w:tc>
          <w:tcPr>
            <w:tcW w:w="1212" w:type="dxa"/>
            <w:tcBorders>
              <w:top w:val="nil"/>
              <w:left w:val="nil"/>
              <w:bottom w:val="nil"/>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289.075</w:t>
            </w:r>
          </w:p>
        </w:tc>
        <w:tc>
          <w:tcPr>
            <w:tcW w:w="621" w:type="dxa"/>
            <w:tcBorders>
              <w:top w:val="nil"/>
              <w:left w:val="nil"/>
              <w:bottom w:val="nil"/>
              <w:right w:val="nil"/>
            </w:tcBorders>
          </w:tcPr>
          <w:p>
            <w:pPr>
              <w:pStyle w:val="6"/>
              <w:spacing w:after="0" w:line="240" w:lineRule="auto"/>
              <w:ind w:left="0"/>
              <w:rPr>
                <w:rFonts w:ascii="Times New Roman" w:hAnsi="Times New Roman" w:cs="Times New Roman"/>
                <w:sz w:val="18"/>
                <w:szCs w:val="18"/>
              </w:rPr>
            </w:pPr>
            <w:r>
              <w:rPr>
                <w:rFonts w:ascii="Times New Roman" w:hAnsi="Times New Roman" w:cs="Times New Roman"/>
                <w:sz w:val="18"/>
                <w:szCs w:val="18"/>
              </w:rPr>
              <w:t>0,157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tcBorders>
              <w:top w:val="nil"/>
              <w:left w:val="nil"/>
              <w:bottom w:val="single" w:color="auto" w:sz="4" w:space="0"/>
              <w:right w:val="nil"/>
            </w:tcBorders>
          </w:tcPr>
          <w:p>
            <w:pPr>
              <w:spacing w:after="0" w:line="240" w:lineRule="auto"/>
              <w:rPr>
                <w:rFonts w:ascii="Times New Roman" w:hAnsi="Times New Roman" w:cs="Times New Roman"/>
                <w:sz w:val="18"/>
                <w:szCs w:val="18"/>
              </w:rPr>
            </w:pPr>
            <w:r>
              <w:rPr>
                <w:rFonts w:ascii="Times New Roman" w:hAnsi="Times New Roman" w:cs="Times New Roman"/>
                <w:sz w:val="18"/>
                <w:szCs w:val="18"/>
              </w:rPr>
              <w:t>Tidak patuh</w:t>
            </w:r>
          </w:p>
        </w:tc>
        <w:tc>
          <w:tcPr>
            <w:tcW w:w="1340" w:type="dxa"/>
            <w:tcBorders>
              <w:top w:val="nil"/>
              <w:left w:val="nil"/>
              <w:bottom w:val="single" w:color="auto" w:sz="4" w:space="0"/>
              <w:right w:val="nil"/>
            </w:tcBorders>
          </w:tcPr>
          <w:p>
            <w:pPr>
              <w:pStyle w:val="6"/>
              <w:spacing w:after="0" w:line="235" w:lineRule="auto"/>
              <w:ind w:left="0"/>
              <w:jc w:val="center"/>
              <w:rPr>
                <w:rFonts w:ascii="Times New Roman" w:hAnsi="Times New Roman" w:cs="Times New Roman"/>
                <w:sz w:val="18"/>
                <w:szCs w:val="18"/>
              </w:rPr>
            </w:pPr>
            <w:r>
              <w:rPr>
                <w:rFonts w:ascii="Times New Roman" w:hAnsi="Times New Roman" w:cs="Times New Roman"/>
                <w:sz w:val="18"/>
                <w:szCs w:val="18"/>
              </w:rPr>
              <w:t>129</w:t>
            </w:r>
          </w:p>
        </w:tc>
        <w:tc>
          <w:tcPr>
            <w:tcW w:w="1212" w:type="dxa"/>
            <w:tcBorders>
              <w:top w:val="nil"/>
              <w:left w:val="nil"/>
              <w:bottom w:val="single" w:color="auto" w:sz="4" w:space="0"/>
              <w:right w:val="nil"/>
            </w:tcBorders>
          </w:tcPr>
          <w:p>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lang w:eastAsia="id-ID"/>
              </w:rPr>
              <w:t>271.458</w:t>
            </w:r>
          </w:p>
        </w:tc>
        <w:tc>
          <w:tcPr>
            <w:tcW w:w="621" w:type="dxa"/>
            <w:tcBorders>
              <w:top w:val="nil"/>
              <w:left w:val="nil"/>
              <w:bottom w:val="single" w:color="auto" w:sz="4" w:space="0"/>
              <w:right w:val="nil"/>
            </w:tcBorders>
          </w:tcPr>
          <w:p>
            <w:pPr>
              <w:pStyle w:val="6"/>
              <w:spacing w:after="0" w:line="240" w:lineRule="auto"/>
              <w:ind w:left="0"/>
              <w:rPr>
                <w:rFonts w:ascii="Times New Roman" w:hAnsi="Times New Roman" w:cs="Times New Roman"/>
                <w:sz w:val="18"/>
                <w:szCs w:val="18"/>
              </w:rPr>
            </w:pPr>
          </w:p>
        </w:tc>
      </w:tr>
    </w:tbl>
    <w:p>
      <w:pPr>
        <w:spacing w:after="0" w:line="480" w:lineRule="auto"/>
        <w:jc w:val="both"/>
        <w:outlineLvl w:val="0"/>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Berdasarkan uji korelasi diketahui bahwa nilai p pada umur pasien (p=0,350), jenis kelamin</w:t>
      </w:r>
      <w:r>
        <w:rPr>
          <w:sz w:val="24"/>
          <w:szCs w:val="24"/>
        </w:rPr>
        <w:t xml:space="preserve"> (p=</w:t>
      </w:r>
      <w:r>
        <w:rPr>
          <w:rFonts w:ascii="Times New Roman" w:hAnsi="Times New Roman" w:cs="Times New Roman"/>
          <w:sz w:val="24"/>
          <w:szCs w:val="24"/>
        </w:rPr>
        <w:t>0,394), komorbid</w:t>
      </w:r>
      <w:r>
        <w:rPr>
          <w:sz w:val="24"/>
          <w:szCs w:val="24"/>
        </w:rPr>
        <w:t xml:space="preserve"> (p=</w:t>
      </w:r>
      <w:r>
        <w:rPr>
          <w:rFonts w:ascii="Times New Roman" w:hAnsi="Times New Roman" w:cs="Times New Roman"/>
          <w:sz w:val="24"/>
          <w:szCs w:val="24"/>
        </w:rPr>
        <w:t xml:space="preserve">0,034), jumlah obat </w:t>
      </w:r>
      <w:r>
        <w:rPr>
          <w:sz w:val="24"/>
          <w:szCs w:val="24"/>
        </w:rPr>
        <w:t>(p=</w:t>
      </w:r>
      <w:r>
        <w:rPr>
          <w:rFonts w:ascii="Times New Roman" w:hAnsi="Times New Roman" w:cs="Times New Roman"/>
          <w:sz w:val="24"/>
          <w:szCs w:val="24"/>
        </w:rPr>
        <w:t xml:space="preserve">0,254), dan kepatuhan </w:t>
      </w:r>
      <w:r>
        <w:rPr>
          <w:sz w:val="24"/>
          <w:szCs w:val="24"/>
        </w:rPr>
        <w:t>(p=</w:t>
      </w:r>
      <w:r>
        <w:rPr>
          <w:rFonts w:ascii="Times New Roman" w:hAnsi="Times New Roman" w:cs="Times New Roman"/>
          <w:sz w:val="24"/>
          <w:szCs w:val="24"/>
        </w:rPr>
        <w:t>0,157) dapat dismpulakan bahwa tidak terdapat hubungan yang signifikan antara variabel karakteristik pasien yakni umur, jenis kelamin, komorbid, jumlah obat dan kepatuhan pasien terhadap rata-rata biaya par bulan.</w:t>
      </w:r>
    </w:p>
    <w:p>
      <w:pPr>
        <w:pStyle w:val="6"/>
        <w:numPr>
          <w:ilvl w:val="0"/>
          <w:numId w:val="1"/>
        </w:numPr>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KESIMPULAN</w:t>
      </w:r>
    </w:p>
    <w:p>
      <w:pPr>
        <w:pStyle w:val="6"/>
        <w:numPr>
          <w:ilvl w:val="3"/>
          <w:numId w:val="1"/>
        </w:numPr>
        <w:tabs>
          <w:tab w:val="left" w:pos="426"/>
          <w:tab w:val="left" w:pos="567"/>
        </w:tabs>
        <w:spacing w:after="0" w:line="480" w:lineRule="auto"/>
        <w:ind w:left="426" w:hanging="142"/>
        <w:jc w:val="both"/>
        <w:outlineLvl w:val="0"/>
        <w:rPr>
          <w:rFonts w:ascii="Times New Roman" w:hAnsi="Times New Roman" w:cs="Times New Roman"/>
          <w:sz w:val="24"/>
          <w:szCs w:val="24"/>
        </w:rPr>
      </w:pPr>
      <w:r>
        <w:rPr>
          <w:rFonts w:ascii="Times New Roman" w:hAnsi="Times New Roman" w:cs="Times New Roman"/>
          <w:sz w:val="24"/>
          <w:szCs w:val="24"/>
        </w:rPr>
        <w:t>Pola pengobatan yang banyak digunakan di RSUD Karanganyar yaitu kombinasi antara captopril-HCT yaitu sebanyak 56 pasien (19,11%)</w:t>
      </w:r>
    </w:p>
    <w:p>
      <w:pPr>
        <w:pStyle w:val="6"/>
        <w:numPr>
          <w:ilvl w:val="3"/>
          <w:numId w:val="1"/>
        </w:numPr>
        <w:tabs>
          <w:tab w:val="left" w:pos="426"/>
          <w:tab w:val="left" w:pos="567"/>
        </w:tabs>
        <w:spacing w:after="0" w:line="480" w:lineRule="auto"/>
        <w:ind w:left="426" w:hanging="142"/>
        <w:jc w:val="both"/>
        <w:outlineLvl w:val="0"/>
        <w:rPr>
          <w:rFonts w:ascii="Times New Roman" w:hAnsi="Times New Roman" w:cs="Times New Roman"/>
          <w:sz w:val="24"/>
          <w:szCs w:val="24"/>
        </w:rPr>
      </w:pPr>
      <w:r>
        <w:rPr>
          <w:rFonts w:ascii="Times New Roman" w:hAnsi="Times New Roman" w:cs="Times New Roman"/>
          <w:sz w:val="24"/>
          <w:szCs w:val="24"/>
        </w:rPr>
        <w:t>Kepatuhan pasien rawat jalan peserta askes di RSUD Karanganyar diketahui sebanyak 164 patuh dan 129 pasien tidak patuh.</w:t>
      </w:r>
    </w:p>
    <w:p>
      <w:pPr>
        <w:pStyle w:val="6"/>
        <w:numPr>
          <w:ilvl w:val="3"/>
          <w:numId w:val="1"/>
        </w:numPr>
        <w:tabs>
          <w:tab w:val="left" w:pos="426"/>
          <w:tab w:val="left" w:pos="567"/>
        </w:tabs>
        <w:spacing w:after="0" w:line="480" w:lineRule="auto"/>
        <w:ind w:left="426" w:hanging="142"/>
        <w:jc w:val="both"/>
        <w:outlineLvl w:val="0"/>
        <w:rPr>
          <w:rFonts w:ascii="Times New Roman" w:hAnsi="Times New Roman" w:cs="Times New Roman"/>
          <w:sz w:val="24"/>
          <w:szCs w:val="24"/>
        </w:rPr>
      </w:pPr>
      <w:r>
        <w:rPr>
          <w:rFonts w:ascii="Times New Roman" w:hAnsi="Times New Roman" w:cs="Times New Roman"/>
          <w:sz w:val="24"/>
          <w:szCs w:val="24"/>
        </w:rPr>
        <w:t>Rata-rata biaya pengobatan pada pasien hipertensi rawat jalan peserta askes di RSUD Karanganyar lebih besar terdapat pada pasien tidak patuh yakni Rp.259,826 dibandingkan dengan pasien patuh Rp.256,696.</w:t>
      </w:r>
    </w:p>
    <w:p>
      <w:pPr>
        <w:pStyle w:val="6"/>
        <w:numPr>
          <w:ilvl w:val="3"/>
          <w:numId w:val="1"/>
        </w:numPr>
        <w:tabs>
          <w:tab w:val="left" w:pos="426"/>
          <w:tab w:val="left" w:pos="567"/>
        </w:tabs>
        <w:spacing w:after="0" w:line="480" w:lineRule="auto"/>
        <w:ind w:left="426" w:hanging="142"/>
        <w:jc w:val="both"/>
        <w:outlineLvl w:val="0"/>
        <w:rPr>
          <w:rFonts w:ascii="Times New Roman" w:hAnsi="Times New Roman" w:cs="Times New Roman"/>
          <w:sz w:val="24"/>
          <w:szCs w:val="24"/>
        </w:rPr>
      </w:pPr>
      <w:r>
        <w:rPr>
          <w:rFonts w:ascii="Times New Roman" w:hAnsi="Times New Roman" w:cs="Times New Roman"/>
          <w:sz w:val="24"/>
          <w:szCs w:val="24"/>
        </w:rPr>
        <w:t>Tidak terdapat hubungan yang signifikan antara karakteristik pasien dan kepatuhan dengan rata-rata biaya perbulan yang diperlukan.</w:t>
      </w:r>
    </w:p>
    <w:p>
      <w:pPr>
        <w:spacing w:after="0" w:line="360" w:lineRule="auto"/>
        <w:jc w:val="both"/>
        <w:outlineLvl w:val="0"/>
        <w:rPr>
          <w:rFonts w:ascii="Times New Roman" w:hAnsi="Times New Roman" w:cs="Times New Roman"/>
          <w:sz w:val="24"/>
          <w:szCs w:val="24"/>
        </w:rPr>
      </w:pPr>
    </w:p>
    <w:p>
      <w:pPr>
        <w:pStyle w:val="6"/>
        <w:spacing w:line="240" w:lineRule="auto"/>
        <w:ind w:left="0"/>
        <w:jc w:val="center"/>
        <w:outlineLvl w:val="0"/>
        <w:rPr>
          <w:rFonts w:ascii="Times New Roman" w:hAnsi="Times New Roman" w:cs="Times New Roman"/>
          <w:b/>
          <w:sz w:val="24"/>
          <w:szCs w:val="24"/>
        </w:rPr>
      </w:pPr>
      <w:r>
        <w:rPr>
          <w:rFonts w:ascii="Times New Roman" w:hAnsi="Times New Roman" w:cs="Times New Roman"/>
          <w:b/>
          <w:sz w:val="24"/>
          <w:szCs w:val="24"/>
        </w:rPr>
        <w:t>DAFTAR PUSTAKA</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Anonim, 2006</w:t>
      </w:r>
      <w:r>
        <w:rPr>
          <w:rFonts w:ascii="Times New Roman" w:hAnsi="Times New Roman" w:cs="Times New Roman"/>
          <w:i/>
          <w:sz w:val="24"/>
          <w:szCs w:val="24"/>
        </w:rPr>
        <w:t>, Kepatuhan pasien Faktor Penting Keberhasilan Terapi Info POM</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Anonim, 2006, </w:t>
      </w:r>
      <w:r>
        <w:rPr>
          <w:rFonts w:ascii="Times New Roman" w:hAnsi="Times New Roman" w:cs="Times New Roman"/>
          <w:i/>
          <w:sz w:val="24"/>
          <w:szCs w:val="24"/>
        </w:rPr>
        <w:t>Pharmacetical care untuk penyakit Hipertensi</w:t>
      </w:r>
      <w:r>
        <w:rPr>
          <w:rFonts w:ascii="Times New Roman" w:hAnsi="Times New Roman" w:cs="Times New Roman"/>
          <w:sz w:val="24"/>
          <w:szCs w:val="24"/>
        </w:rPr>
        <w:t>, Direktorat Bina  Farmasi komonitas Dan Klinik Ditjen Bina Kefarmasian dan Alat Kesehatan Departemen Kesehatan RI., Jakarta.</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Brunner and Suddarth. 2002. </w:t>
      </w:r>
      <w:r>
        <w:rPr>
          <w:rFonts w:ascii="Times New Roman" w:hAnsi="Times New Roman" w:cs="Times New Roman"/>
          <w:i/>
          <w:sz w:val="24"/>
          <w:szCs w:val="24"/>
        </w:rPr>
        <w:t>Keperawatan Medikal Bedah</w:t>
      </w:r>
      <w:r>
        <w:rPr>
          <w:rFonts w:ascii="Times New Roman" w:hAnsi="Times New Roman" w:cs="Times New Roman"/>
          <w:sz w:val="24"/>
          <w:szCs w:val="24"/>
        </w:rPr>
        <w:t>. Edisi 8. Jakarta:EGC.</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Chobanian, A. V., Barkris, G.L., Black, H.R., et al., 2003, </w:t>
      </w:r>
      <w:r>
        <w:rPr>
          <w:rFonts w:ascii="Times New Roman" w:hAnsi="Times New Roman" w:cs="Times New Roman"/>
          <w:i/>
          <w:sz w:val="24"/>
          <w:szCs w:val="24"/>
        </w:rPr>
        <w:t xml:space="preserve">The Seventh Report Of the  Joint National Committe on prevention, detection, evaluation,  Treatment of High Blood Pressure, National  Institute of Health Publication </w:t>
      </w:r>
      <w:r>
        <w:rPr>
          <w:rFonts w:ascii="Times New Roman" w:hAnsi="Times New Roman" w:cs="Times New Roman"/>
          <w:sz w:val="24"/>
          <w:szCs w:val="24"/>
        </w:rPr>
        <w:t>D4-5230</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Hussar, DA., 1995</w:t>
      </w:r>
      <w:r>
        <w:rPr>
          <w:rFonts w:ascii="Times New Roman" w:hAnsi="Times New Roman" w:cs="Times New Roman"/>
          <w:i/>
          <w:sz w:val="24"/>
          <w:szCs w:val="24"/>
        </w:rPr>
        <w:t>. Patient Compliance, in Remington: The Science and practise of pharnacy</w:t>
      </w:r>
      <w:r>
        <w:rPr>
          <w:rFonts w:ascii="Times New Roman" w:hAnsi="Times New Roman" w:cs="Times New Roman"/>
          <w:sz w:val="24"/>
          <w:szCs w:val="24"/>
        </w:rPr>
        <w:t>, philadelphia Collage of Pharmacy and science, USA, 2:1796-1807</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Junaidi, I., 2010, </w:t>
      </w:r>
      <w:r>
        <w:rPr>
          <w:rFonts w:ascii="Times New Roman" w:hAnsi="Times New Roman" w:cs="Times New Roman"/>
          <w:i/>
          <w:sz w:val="24"/>
          <w:szCs w:val="24"/>
        </w:rPr>
        <w:t>Pengenalan, Penengahan &amp; Pengobatan Hipertensi,</w:t>
      </w:r>
      <w:r>
        <w:rPr>
          <w:rFonts w:ascii="Times New Roman" w:hAnsi="Times New Roman" w:cs="Times New Roman"/>
          <w:sz w:val="24"/>
          <w:szCs w:val="24"/>
        </w:rPr>
        <w:t xml:space="preserve"> 35-44, PT Bhuana Ilmu Populer,  Jakarta</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Mansjoer, A. Triyanti, K. Savitri. Savitri, R, Wardhani, W.I. Setiowulan, W., 1999, </w:t>
      </w:r>
      <w:r>
        <w:rPr>
          <w:rFonts w:ascii="Times New Roman" w:hAnsi="Times New Roman" w:cs="Times New Roman"/>
          <w:i/>
          <w:sz w:val="24"/>
          <w:szCs w:val="24"/>
        </w:rPr>
        <w:t>Kapita Selekta Kedokteran</w:t>
      </w:r>
      <w:r>
        <w:rPr>
          <w:rFonts w:ascii="Times New Roman" w:hAnsi="Times New Roman" w:cs="Times New Roman"/>
          <w:sz w:val="24"/>
          <w:szCs w:val="24"/>
        </w:rPr>
        <w:t>, Ed. Ke-3, jilid 1, media aesuclapius FKUI, Jakarta</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Morisky DE, Ang A, Krousel-Wood MA, Ward H. (2008) </w:t>
      </w:r>
      <w:r>
        <w:rPr>
          <w:rFonts w:ascii="Times New Roman" w:hAnsi="Times New Roman" w:cs="Times New Roman"/>
          <w:i/>
          <w:sz w:val="24"/>
          <w:szCs w:val="24"/>
        </w:rPr>
        <w:t>Predictive Validity of a medication adherence measure in an outpatient setting</w:t>
      </w:r>
      <w:r>
        <w:rPr>
          <w:rFonts w:ascii="Times New Roman" w:hAnsi="Times New Roman" w:cs="Times New Roman"/>
          <w:sz w:val="24"/>
          <w:szCs w:val="24"/>
        </w:rPr>
        <w:t>. J Clin Hypertension 10:348-354</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Oeng KL, Cheung BM, Man YB, Lau CP, Lam KS. (2007) </w:t>
      </w:r>
      <w:r>
        <w:rPr>
          <w:rFonts w:ascii="Times New Roman" w:hAnsi="Times New Roman" w:cs="Times New Roman"/>
          <w:i/>
          <w:sz w:val="24"/>
          <w:szCs w:val="24"/>
        </w:rPr>
        <w:t>Prevalence, awareness, treatment and control of hypertension among United States adults 1999-2004</w:t>
      </w:r>
      <w:r>
        <w:rPr>
          <w:rFonts w:ascii="Times New Roman" w:hAnsi="Times New Roman" w:cs="Times New Roman"/>
          <w:sz w:val="24"/>
          <w:szCs w:val="24"/>
        </w:rPr>
        <w:t>, Hypertension. 49 (1); 65-75s</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Schiff GD, Fung S, Speroff T, McNutt RA. (2003), </w:t>
      </w:r>
      <w:r>
        <w:rPr>
          <w:rFonts w:ascii="Times New Roman" w:hAnsi="Times New Roman" w:cs="Times New Roman"/>
          <w:i/>
          <w:sz w:val="24"/>
          <w:szCs w:val="24"/>
        </w:rPr>
        <w:t>Decompensated heart failure: symptoms, patterns of onset, and contributing factors</w:t>
      </w:r>
      <w:r>
        <w:rPr>
          <w:rFonts w:ascii="Times New Roman" w:hAnsi="Times New Roman" w:cs="Times New Roman"/>
          <w:sz w:val="24"/>
          <w:szCs w:val="24"/>
        </w:rPr>
        <w:t>, Am J med. 114(8): 625-630</w:t>
      </w: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Sokol MC, McGuigan KA, Verbrugge RR, Epstein RS. (2005) </w:t>
      </w:r>
      <w:r>
        <w:rPr>
          <w:rFonts w:ascii="Times New Roman" w:hAnsi="Times New Roman" w:cs="Times New Roman"/>
          <w:i/>
          <w:sz w:val="24"/>
          <w:szCs w:val="24"/>
        </w:rPr>
        <w:t>Impact of medication adherence on hospitalization risk and healthcare cost</w:t>
      </w:r>
      <w:r>
        <w:rPr>
          <w:rFonts w:ascii="Times New Roman" w:hAnsi="Times New Roman" w:cs="Times New Roman"/>
          <w:sz w:val="24"/>
          <w:szCs w:val="24"/>
        </w:rPr>
        <w:t>. Mrd Care. 2005;43(6):521-530</w:t>
      </w:r>
    </w:p>
    <w:sectPr>
      <w:type w:val="continuous"/>
      <w:pgSz w:w="11906" w:h="16838"/>
      <w:pgMar w:top="1440" w:right="1274" w:bottom="1440" w:left="1276" w:header="708" w:footer="708" w:gutter="0"/>
      <w:cols w:space="284"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750A"/>
    <w:multiLevelType w:val="multilevel"/>
    <w:tmpl w:val="082A750A"/>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ascii="Times New Roman" w:hAnsi="Times New Roman" w:cs="Times New Roman" w:eastAsiaTheme="minorHAnsi"/>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37C39E6"/>
    <w:multiLevelType w:val="multilevel"/>
    <w:tmpl w:val="137C39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E8B1202"/>
    <w:multiLevelType w:val="multilevel"/>
    <w:tmpl w:val="3E8B12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203CE7"/>
    <w:rsid w:val="001E3B1B"/>
    <w:rsid w:val="001F00A1"/>
    <w:rsid w:val="00203CE7"/>
    <w:rsid w:val="002D6C22"/>
    <w:rsid w:val="004E2694"/>
    <w:rsid w:val="00586F0A"/>
    <w:rsid w:val="00600E34"/>
    <w:rsid w:val="006D40AB"/>
    <w:rsid w:val="008D04E6"/>
    <w:rsid w:val="009729F1"/>
    <w:rsid w:val="00A73928"/>
    <w:rsid w:val="00AE7D76"/>
    <w:rsid w:val="00B50A64"/>
    <w:rsid w:val="00C45DC0"/>
    <w:rsid w:val="5B8A43E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7"/>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table" w:styleId="5">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Heading 1 Char"/>
    <w:basedOn w:val="3"/>
    <w:link w:val="2"/>
    <w:uiPriority w:val="9"/>
    <w:rPr>
      <w:rFonts w:asciiTheme="majorHAnsi" w:hAnsiTheme="majorHAnsi" w:eastAsiaTheme="majorEastAsia" w:cstheme="majorBidi"/>
      <w:b/>
      <w:bCs/>
      <w:color w:val="366091" w:themeColor="accent1" w:themeShade="BF"/>
      <w:sz w:val="28"/>
      <w:szCs w:val="28"/>
    </w:rPr>
  </w:style>
  <w:style w:type="table" w:customStyle="1" w:styleId="8">
    <w:name w:val="Light Shading1"/>
    <w:basedOn w:val="4"/>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2959</Words>
  <Characters>16871</Characters>
  <Lines>140</Lines>
  <Paragraphs>39</Paragraphs>
  <TotalTime>1</TotalTime>
  <ScaleCrop>false</ScaleCrop>
  <LinksUpToDate>false</LinksUpToDate>
  <CharactersWithSpaces>19791</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2014-09-15T10:19:00Z</dcterms:created>
  <dc:creator>Jihandra</dc:creator>
  <cp:lastModifiedBy>Acer</cp:lastModifiedBy>
  <dcterms:modified xsi:type="dcterms:W3CDTF">2019-05-27T05:17:06Z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